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93" w:rsidRDefault="00512793" w:rsidP="00F37F7E">
      <w:pPr>
        <w:pStyle w:val="Kjene"/>
        <w:jc w:val="center"/>
        <w:outlineLvl w:val="0"/>
        <w:rPr>
          <w:sz w:val="28"/>
          <w:szCs w:val="28"/>
        </w:rPr>
      </w:pPr>
      <w:bookmarkStart w:id="0" w:name="OLE_LINK6"/>
      <w:bookmarkStart w:id="1" w:name="OLE_LINK7"/>
    </w:p>
    <w:bookmarkEnd w:id="0"/>
    <w:bookmarkEnd w:id="1"/>
    <w:p w:rsidR="00512793" w:rsidRPr="00FC4AAE" w:rsidRDefault="00512793" w:rsidP="00FC4AAE">
      <w:pPr>
        <w:jc w:val="center"/>
        <w:rPr>
          <w:b/>
          <w:bCs/>
          <w:iCs/>
          <w:sz w:val="28"/>
        </w:rPr>
      </w:pPr>
      <w:r w:rsidRPr="00596B72">
        <w:rPr>
          <w:b/>
          <w:sz w:val="28"/>
          <w:szCs w:val="28"/>
        </w:rPr>
        <w:t xml:space="preserve">Ministru kabineta </w:t>
      </w:r>
      <w:r>
        <w:rPr>
          <w:b/>
          <w:sz w:val="28"/>
          <w:szCs w:val="28"/>
        </w:rPr>
        <w:t>rīkojuma</w:t>
      </w:r>
      <w:r w:rsidRPr="00596B72">
        <w:rPr>
          <w:b/>
          <w:sz w:val="28"/>
          <w:szCs w:val="28"/>
        </w:rPr>
        <w:t xml:space="preserve"> projekta </w:t>
      </w:r>
      <w:r>
        <w:rPr>
          <w:b/>
          <w:sz w:val="28"/>
          <w:szCs w:val="28"/>
        </w:rPr>
        <w:t>„</w:t>
      </w:r>
      <w:r w:rsidR="00FC4AAE" w:rsidRPr="00FC4AAE">
        <w:rPr>
          <w:b/>
          <w:bCs/>
          <w:iCs/>
          <w:sz w:val="28"/>
        </w:rPr>
        <w:t>Par publisko iepirkumu klasiskā cūku mēra apkarošanas pasākumiem</w:t>
      </w:r>
      <w:r>
        <w:rPr>
          <w:b/>
          <w:bCs/>
          <w:sz w:val="28"/>
        </w:rPr>
        <w:t>”</w:t>
      </w:r>
    </w:p>
    <w:p w:rsidR="00512793" w:rsidRDefault="00512793" w:rsidP="00D23392">
      <w:pPr>
        <w:pStyle w:val="naisc"/>
        <w:widowControl w:val="0"/>
        <w:spacing w:before="0" w:beforeAutospacing="0" w:after="0" w:afterAutospacing="0"/>
        <w:jc w:val="center"/>
        <w:rPr>
          <w:b/>
          <w:bCs/>
          <w:sz w:val="28"/>
          <w:szCs w:val="28"/>
        </w:rPr>
      </w:pPr>
      <w:r w:rsidRPr="00596B72">
        <w:rPr>
          <w:b/>
          <w:bCs/>
          <w:sz w:val="28"/>
          <w:szCs w:val="28"/>
        </w:rPr>
        <w:t>sākotnējās ietekmes novērtējuma ziņojums (anotācija)</w:t>
      </w:r>
    </w:p>
    <w:p w:rsidR="00512793" w:rsidRDefault="00512793" w:rsidP="002A7BC6">
      <w:pPr>
        <w:pStyle w:val="naisc"/>
        <w:widowControl w:val="0"/>
        <w:spacing w:before="0" w:beforeAutospacing="0" w:after="0" w:afterAutospacing="0"/>
      </w:pPr>
    </w:p>
    <w:tbl>
      <w:tblPr>
        <w:tblW w:w="5655" w:type="pct"/>
        <w:jc w:val="center"/>
        <w:tblInd w:w="-6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2"/>
        <w:gridCol w:w="2962"/>
        <w:gridCol w:w="7080"/>
      </w:tblGrid>
      <w:tr w:rsidR="00512793" w:rsidRPr="00906B31" w:rsidTr="00074BF1">
        <w:trPr>
          <w:jc w:val="center"/>
        </w:trPr>
        <w:tc>
          <w:tcPr>
            <w:tcW w:w="5000" w:type="pct"/>
            <w:gridSpan w:val="3"/>
          </w:tcPr>
          <w:p w:rsidR="00512793" w:rsidRPr="00787D30" w:rsidRDefault="00512793" w:rsidP="00F37F7E">
            <w:pPr>
              <w:pStyle w:val="naisnod"/>
              <w:spacing w:before="0" w:beforeAutospacing="0" w:after="0" w:afterAutospacing="0"/>
              <w:jc w:val="center"/>
            </w:pPr>
            <w:r w:rsidRPr="00906B31">
              <w:rPr>
                <w:b/>
                <w:bCs/>
              </w:rPr>
              <w:t xml:space="preserve">I. </w:t>
            </w:r>
            <w:r>
              <w:rPr>
                <w:b/>
                <w:bCs/>
              </w:rPr>
              <w:t>Tiesību akta projekta izstrādes nepieciešamība</w:t>
            </w:r>
          </w:p>
        </w:tc>
      </w:tr>
      <w:tr w:rsidR="00512793" w:rsidRPr="00906B31" w:rsidTr="00074BF1">
        <w:trPr>
          <w:jc w:val="center"/>
        </w:trPr>
        <w:tc>
          <w:tcPr>
            <w:tcW w:w="220" w:type="pct"/>
          </w:tcPr>
          <w:p w:rsidR="00512793" w:rsidRPr="00787D30" w:rsidRDefault="00512793" w:rsidP="00F37F7E">
            <w:pPr>
              <w:pStyle w:val="naiskr"/>
              <w:tabs>
                <w:tab w:val="left" w:pos="3044"/>
              </w:tabs>
              <w:spacing w:before="0" w:beforeAutospacing="0" w:after="0" w:afterAutospacing="0"/>
              <w:jc w:val="both"/>
            </w:pPr>
            <w:r w:rsidRPr="00787D30">
              <w:t xml:space="preserve">1. </w:t>
            </w:r>
          </w:p>
        </w:tc>
        <w:tc>
          <w:tcPr>
            <w:tcW w:w="1410" w:type="pct"/>
          </w:tcPr>
          <w:p w:rsidR="00512793" w:rsidRPr="00787D30" w:rsidRDefault="00512793" w:rsidP="00F37F7E">
            <w:pPr>
              <w:pStyle w:val="naiskr"/>
              <w:tabs>
                <w:tab w:val="left" w:pos="3044"/>
              </w:tabs>
              <w:spacing w:before="0" w:beforeAutospacing="0" w:after="0" w:afterAutospacing="0"/>
              <w:jc w:val="both"/>
            </w:pPr>
            <w:r w:rsidRPr="000A0D36">
              <w:rPr>
                <w:color w:val="000000"/>
              </w:rPr>
              <w:t>Pamatojums</w:t>
            </w:r>
          </w:p>
        </w:tc>
        <w:tc>
          <w:tcPr>
            <w:tcW w:w="3370" w:type="pct"/>
          </w:tcPr>
          <w:p w:rsidR="00512793" w:rsidRPr="000B4B7F" w:rsidRDefault="00512793" w:rsidP="00716A1E">
            <w:pPr>
              <w:jc w:val="both"/>
            </w:pPr>
            <w:r>
              <w:t xml:space="preserve">Publisko iepirkumu likuma </w:t>
            </w:r>
            <w:r w:rsidRPr="00BA5CD2">
              <w:rPr>
                <w:bCs/>
                <w:iCs/>
              </w:rPr>
              <w:t>3.panta trešās daļas 2.punkt</w:t>
            </w:r>
            <w:r>
              <w:rPr>
                <w:bCs/>
                <w:iCs/>
              </w:rPr>
              <w:t>s.</w:t>
            </w:r>
          </w:p>
        </w:tc>
      </w:tr>
      <w:tr w:rsidR="00512793" w:rsidRPr="00906B31" w:rsidTr="00074BF1">
        <w:trPr>
          <w:jc w:val="center"/>
        </w:trPr>
        <w:tc>
          <w:tcPr>
            <w:tcW w:w="220" w:type="pct"/>
          </w:tcPr>
          <w:p w:rsidR="00512793" w:rsidRPr="00906B31" w:rsidRDefault="00512793" w:rsidP="00F37F7E">
            <w:pPr>
              <w:pStyle w:val="Pamatteksts"/>
              <w:widowControl w:val="0"/>
              <w:jc w:val="both"/>
              <w:rPr>
                <w:b w:val="0"/>
                <w:sz w:val="24"/>
                <w:szCs w:val="24"/>
              </w:rPr>
            </w:pPr>
            <w:r w:rsidRPr="00906B31">
              <w:rPr>
                <w:b w:val="0"/>
                <w:sz w:val="24"/>
                <w:szCs w:val="24"/>
              </w:rPr>
              <w:t xml:space="preserve">2. </w:t>
            </w:r>
          </w:p>
        </w:tc>
        <w:tc>
          <w:tcPr>
            <w:tcW w:w="1410" w:type="pct"/>
          </w:tcPr>
          <w:p w:rsidR="00512793" w:rsidRPr="00906B31" w:rsidRDefault="00512793" w:rsidP="00F37F7E">
            <w:pPr>
              <w:pStyle w:val="Pamatteksts"/>
              <w:widowControl w:val="0"/>
              <w:jc w:val="both"/>
              <w:rPr>
                <w:b w:val="0"/>
                <w:sz w:val="24"/>
                <w:szCs w:val="24"/>
              </w:rPr>
            </w:pPr>
            <w:r w:rsidRPr="00683765">
              <w:rPr>
                <w:b w:val="0"/>
                <w:color w:val="000000"/>
                <w:sz w:val="24"/>
                <w:szCs w:val="24"/>
              </w:rPr>
              <w:t>Pašreizējā situācija un problēmas</w:t>
            </w:r>
          </w:p>
        </w:tc>
        <w:tc>
          <w:tcPr>
            <w:tcW w:w="3370" w:type="pct"/>
            <w:tcBorders>
              <w:bottom w:val="single" w:sz="4" w:space="0" w:color="auto"/>
            </w:tcBorders>
          </w:tcPr>
          <w:p w:rsidR="00731F1D" w:rsidRPr="00731F1D" w:rsidRDefault="00731F1D" w:rsidP="00731F1D">
            <w:pPr>
              <w:jc w:val="both"/>
            </w:pPr>
            <w:r w:rsidRPr="00731F1D">
              <w:t xml:space="preserve">Pārtikas un veterinārais dienests (PVD) kopš 2012.gada novembra, kad tika konstatēts klasiskā cūku mēra uzliesmojums mājas cūku un mežacūku populācijā, veic intensīvu darbu šīs infekcijas slimības apkarošanai. </w:t>
            </w:r>
          </w:p>
          <w:p w:rsidR="00731F1D" w:rsidRPr="00731F1D" w:rsidRDefault="00731F1D" w:rsidP="00731F1D">
            <w:pPr>
              <w:jc w:val="both"/>
            </w:pPr>
            <w:r w:rsidRPr="00731F1D">
              <w:t>Klasiskais cūku mēris (KCM) ir sevišķi bīstama cūku (mājas</w:t>
            </w:r>
            <w:r>
              <w:t xml:space="preserve"> cūku</w:t>
            </w:r>
            <w:r w:rsidRPr="00731F1D">
              <w:t xml:space="preserve"> un meža</w:t>
            </w:r>
            <w:r>
              <w:t>cūku</w:t>
            </w:r>
            <w:r w:rsidRPr="00731F1D">
              <w:t>) infekcijas slimība - epizootija, kuras uzliesmojums saskaņā ar Civilās aizsardzības likuma 3.panta 1.daļas 3.punktu definēts kā katastrofa. Šīs slimības apkarošanai veicamos</w:t>
            </w:r>
            <w:r>
              <w:t xml:space="preserve"> pasākumus reglamentē Ministru k</w:t>
            </w:r>
            <w:r w:rsidRPr="00731F1D">
              <w:t>abineta 2004.</w:t>
            </w:r>
            <w:r>
              <w:t>gada 30.novembra noteikumi Nr.</w:t>
            </w:r>
            <w:r w:rsidRPr="00731F1D">
              <w:t xml:space="preserve">991 „Klasiskā cūku mēra likvidēšanas un draudu novēršanas kārtība” </w:t>
            </w:r>
            <w:r>
              <w:t xml:space="preserve">(pārņem </w:t>
            </w:r>
            <w:r w:rsidRPr="00731F1D">
              <w:t xml:space="preserve"> Padomes </w:t>
            </w:r>
            <w:r>
              <w:t>1980.gada 11.novembra Direktīvu</w:t>
            </w:r>
            <w:r w:rsidRPr="00731F1D">
              <w:t xml:space="preserve"> </w:t>
            </w:r>
            <w:hyperlink r:id="rId7" w:tgtFrame="_blank" w:tooltip="DIREKTĪVA" w:history="1">
              <w:r w:rsidRPr="00731F1D">
                <w:rPr>
                  <w:rStyle w:val="Hipersaite"/>
                  <w:color w:val="auto"/>
                  <w:u w:val="none"/>
                </w:rPr>
                <w:t>80/1095/EEK</w:t>
              </w:r>
            </w:hyperlink>
            <w:r w:rsidRPr="00731F1D">
              <w:t xml:space="preserve">, kas nosaka, kā Kopienas teritorijā izskaust </w:t>
            </w:r>
            <w:r>
              <w:t xml:space="preserve">un nepieļaut klasisko cūku mēri un </w:t>
            </w:r>
            <w:r w:rsidRPr="00731F1D">
              <w:t>Padomes 2001.ga</w:t>
            </w:r>
            <w:r>
              <w:t>da 23.oktobra Direktīvu</w:t>
            </w:r>
            <w:r w:rsidRPr="00731F1D">
              <w:t xml:space="preserve"> </w:t>
            </w:r>
            <w:hyperlink r:id="rId8" w:tgtFrame="_blank" w:tooltip="DIREKTĪVA" w:history="1">
              <w:r w:rsidRPr="00731F1D">
                <w:rPr>
                  <w:rStyle w:val="Hipersaite"/>
                  <w:color w:val="auto"/>
                  <w:u w:val="none"/>
                </w:rPr>
                <w:t>2001/89/EK</w:t>
              </w:r>
            </w:hyperlink>
            <w:r w:rsidRPr="00731F1D">
              <w:t xml:space="preserve"> par Kopienas pasākumiem klasiskā cūku mēra kontrolei</w:t>
            </w:r>
            <w:r>
              <w:t>)</w:t>
            </w:r>
            <w:r w:rsidRPr="00731F1D">
              <w:t>.</w:t>
            </w:r>
          </w:p>
          <w:p w:rsidR="00731F1D" w:rsidRPr="00731F1D" w:rsidRDefault="00731F1D" w:rsidP="00731F1D">
            <w:pPr>
              <w:jc w:val="both"/>
            </w:pPr>
            <w:r w:rsidRPr="00731F1D">
              <w:t xml:space="preserve">KCM uzliesmojuma gadījumā valstī vai tās daļā tiek noteikti </w:t>
            </w:r>
            <w:r w:rsidR="00BF745D">
              <w:t>ierobežojumi, lai veiktu slimības apkarošanas pasākumus</w:t>
            </w:r>
            <w:r w:rsidRPr="00731F1D">
              <w:t xml:space="preserve">, kuru ietvaros </w:t>
            </w:r>
            <w:r w:rsidR="00BF745D">
              <w:t>inficētajās</w:t>
            </w:r>
            <w:r w:rsidRPr="00731F1D">
              <w:t xml:space="preserve"> novietnēs tiek izkautas cūkas, noteikti ierobežojumi attiecībā uz mājas cūku pārvietošanu, kā arī cūkgaļas un cūkgaļas prod</w:t>
            </w:r>
            <w:r w:rsidR="00BF745D">
              <w:t>uktu tirdzniecības ierobežojumi. T</w:t>
            </w:r>
            <w:r w:rsidRPr="00731F1D">
              <w:t>as rada ekonomiskos zaudējumus cūkkopības un gaļas pārstrādes nozarēm, kā arī valsts tautsaimniecībai kopumā. Saskaņā ar Komi</w:t>
            </w:r>
            <w:r w:rsidR="00BF745D">
              <w:t>sijas Direktīvas 2001/89/EK 16.</w:t>
            </w:r>
            <w:r w:rsidRPr="00731F1D">
              <w:t xml:space="preserve">pantu dalībvalstij 90 dienu laikā pēc </w:t>
            </w:r>
            <w:r w:rsidR="003325EA">
              <w:t xml:space="preserve">KCM </w:t>
            </w:r>
            <w:r w:rsidRPr="00731F1D">
              <w:t xml:space="preserve">uzliesmojuma </w:t>
            </w:r>
            <w:r w:rsidR="003325EA">
              <w:t xml:space="preserve">konstatēšanas </w:t>
            </w:r>
            <w:r w:rsidRPr="00731F1D">
              <w:t xml:space="preserve">dalībvalstij jāizstrādā KCM apkarošanas plāns, kurš jāiesniedz apstiprināšanai Eiropas Komisijā (EK). </w:t>
            </w:r>
          </w:p>
          <w:p w:rsidR="00731F1D" w:rsidRPr="00731F1D" w:rsidRDefault="00731F1D" w:rsidP="00731F1D">
            <w:pPr>
              <w:jc w:val="both"/>
            </w:pPr>
            <w:r w:rsidRPr="00731F1D">
              <w:t xml:space="preserve">2013.gada 15.janvārī EK apstiprināja PVD sagatavoto klasiskā cūku mēra apkarošanas plānu, kura ietvaros Latvijā 2013.gadā ir paredzēts uzsākt mežacūku </w:t>
            </w:r>
            <w:proofErr w:type="spellStart"/>
            <w:r w:rsidRPr="00731F1D">
              <w:t>orālo</w:t>
            </w:r>
            <w:proofErr w:type="spellEnd"/>
            <w:r w:rsidRPr="00731F1D">
              <w:t xml:space="preserve"> vakcināciju (vakcinācija pret KCM ir atļauta tikai KCM apkarošanas gadījumos, kad tā ir saskaņota </w:t>
            </w:r>
            <w:r w:rsidR="00BF745D">
              <w:t>ar Eiropas Komisiju</w:t>
            </w:r>
            <w:r w:rsidRPr="00731F1D">
              <w:t xml:space="preserve">). </w:t>
            </w:r>
            <w:r w:rsidR="00BF745D">
              <w:t xml:space="preserve">Līdz ar to </w:t>
            </w:r>
            <w:r w:rsidRPr="00731F1D">
              <w:t>PVD nebija tiesīgs uzsākt iepirkuma procedūru bez EK saskaņojuma</w:t>
            </w:r>
            <w:r w:rsidR="00BF745D">
              <w:t xml:space="preserve"> par vakcinācijas uzsākšanu. Pozitīvs lēmums par vakcinācijas uzsākšanu</w:t>
            </w:r>
            <w:r w:rsidRPr="00731F1D">
              <w:t xml:space="preserve"> tika panākts PVD un EK bilateriālajās sarunās Briselē š.g.</w:t>
            </w:r>
            <w:r w:rsidR="00BF745D">
              <w:t xml:space="preserve"> 14.</w:t>
            </w:r>
            <w:r w:rsidRPr="00731F1D">
              <w:t xml:space="preserve">janvārī. </w:t>
            </w:r>
          </w:p>
          <w:p w:rsidR="00731F1D" w:rsidRPr="00731F1D" w:rsidRDefault="00731F1D" w:rsidP="00731F1D">
            <w:pPr>
              <w:jc w:val="both"/>
            </w:pPr>
            <w:r w:rsidRPr="00731F1D">
              <w:t xml:space="preserve">Mežacūku </w:t>
            </w:r>
            <w:proofErr w:type="spellStart"/>
            <w:r w:rsidRPr="00731F1D">
              <w:t>orālā</w:t>
            </w:r>
            <w:proofErr w:type="spellEnd"/>
            <w:r w:rsidRPr="00731F1D">
              <w:t xml:space="preserve"> vakcinācija KCM inficētajā </w:t>
            </w:r>
            <w:r w:rsidR="00EE6476">
              <w:t>terit</w:t>
            </w:r>
            <w:r w:rsidR="00BF745D">
              <w:t>o</w:t>
            </w:r>
            <w:r w:rsidR="00EE6476">
              <w:t>r</w:t>
            </w:r>
            <w:r w:rsidR="00BF745D">
              <w:t>ijā</w:t>
            </w:r>
            <w:r w:rsidRPr="00731F1D">
              <w:t xml:space="preserve">, saskaņā ar EK rekomendācijām un citu dalībvalstu pieredzi, jāveic trīs reizes gadā (katra kampaņa tiks sadalīta divās vakcīnu izlikšanas reizēs ar 3–4 nedēļu starplaiku) un vismaz 2-3 gadus pēc kārtas. Plānots, ka inficētajā teritorijā 2013.gada laikā tiks izliktas 1 200 000 devas. Ņemot vērā </w:t>
            </w:r>
            <w:r w:rsidR="00BF745D">
              <w:t xml:space="preserve">mežacūku migrācijas īpatnības un izvērtējot </w:t>
            </w:r>
            <w:r w:rsidRPr="00731F1D">
              <w:t xml:space="preserve">epizootisko situāciju </w:t>
            </w:r>
            <w:r w:rsidR="00BF745D">
              <w:t xml:space="preserve">saistībā ar </w:t>
            </w:r>
            <w:r w:rsidR="00BF745D" w:rsidRPr="00731F1D">
              <w:t xml:space="preserve">KCM </w:t>
            </w:r>
            <w:r w:rsidR="00BF745D">
              <w:t xml:space="preserve">izplatību </w:t>
            </w:r>
            <w:r w:rsidRPr="00731F1D">
              <w:t>Latvijā, svarīgākā ir pavasara vakcinācijas kampaņa (</w:t>
            </w:r>
            <w:r w:rsidR="00BF745D">
              <w:t xml:space="preserve">vēlākais laiks, kad tiek sākta morālās vakcinācijas kampaņa ir marta mēnesis). Šīs vakcinācijas </w:t>
            </w:r>
            <w:r w:rsidRPr="00731F1D">
              <w:t xml:space="preserve"> </w:t>
            </w:r>
            <w:r w:rsidR="00BF745D">
              <w:t xml:space="preserve">kampaņas </w:t>
            </w:r>
            <w:r w:rsidRPr="00731F1D">
              <w:t xml:space="preserve">mērķis ir imunizēt </w:t>
            </w:r>
            <w:r w:rsidR="00BF745D">
              <w:t xml:space="preserve">grūsnās </w:t>
            </w:r>
            <w:r w:rsidRPr="00731F1D">
              <w:t>sivēnmātes, lai nodrošinātu jaundzimušo sivēnu aizsardzību pr</w:t>
            </w:r>
            <w:r w:rsidR="00BF745D">
              <w:t>et KCM pēc piedzimšanas. Nākamo kampaņu</w:t>
            </w:r>
            <w:r w:rsidRPr="00731F1D">
              <w:t xml:space="preserve"> </w:t>
            </w:r>
            <w:r w:rsidR="00BF745D">
              <w:lastRenderedPageBreak/>
              <w:t>norise ir vasarā (maija – jūnija mēnesis) un rudenī (septembra – novembra mēnesis</w:t>
            </w:r>
            <w:r w:rsidRPr="00731F1D">
              <w:t>)</w:t>
            </w:r>
            <w:r w:rsidR="00BF745D">
              <w:t>. Šīs kampaņas</w:t>
            </w:r>
            <w:r w:rsidRPr="00731F1D">
              <w:t xml:space="preserve"> ir secīgas un mērķtiecīgi saistītas, lai turpinātu palielināt imunitāti pret KCM meža cūku populācijā. Vakcinācija ir vienīgā efektīvā KCM apkarošan</w:t>
            </w:r>
            <w:r w:rsidR="00BF745D">
              <w:t>as un ierobežošanas metode meža</w:t>
            </w:r>
            <w:r w:rsidRPr="00731F1D">
              <w:t xml:space="preserve">cūkām. </w:t>
            </w:r>
          </w:p>
          <w:p w:rsidR="00731F1D" w:rsidRPr="00731F1D" w:rsidRDefault="00731F1D" w:rsidP="00731F1D">
            <w:pPr>
              <w:jc w:val="both"/>
            </w:pPr>
            <w:r w:rsidRPr="00731F1D">
              <w:t xml:space="preserve">Vakcīnu izvietošana tiks veikta meža cūku barošanas vietās, ierokot </w:t>
            </w:r>
            <w:r w:rsidR="00BF745D">
              <w:t xml:space="preserve">tās </w:t>
            </w:r>
            <w:r w:rsidRPr="00731F1D">
              <w:t>zemē, kā arī</w:t>
            </w:r>
            <w:r w:rsidR="00BF745D">
              <w:t>,</w:t>
            </w:r>
            <w:r w:rsidRPr="00731F1D">
              <w:t xml:space="preserve"> balstoties uz citu valstu pieredzi līdzīgās teritorijās (plaši meža masīvi un ar slikta ceļu infrastruktūra), paralēli izmantojot aviotehniku. Līdzīga </w:t>
            </w:r>
            <w:r w:rsidR="00EE6476">
              <w:t xml:space="preserve">vakcinācijas </w:t>
            </w:r>
            <w:r w:rsidRPr="00731F1D">
              <w:t>metode Latvijā izmantota trakumsērgas apkarošanai savvaļas dzīvniekiem (lapsām un jenotsuņiem)</w:t>
            </w:r>
            <w:r w:rsidR="00BF745D">
              <w:t>. Veicot šāda veida vakcināciju</w:t>
            </w:r>
            <w:r w:rsidRPr="00731F1D">
              <w:t xml:space="preserve"> </w:t>
            </w:r>
            <w:r w:rsidR="00BF745D">
              <w:t>kopš 2005.</w:t>
            </w:r>
            <w:r w:rsidRPr="00731F1D">
              <w:t xml:space="preserve">gada </w:t>
            </w:r>
            <w:r w:rsidR="00BF745D">
              <w:t>ir strauji samazinājies saslimušo dzīvnieku skaits (no dažiem simtiem līdz vienam, diviem, trijiem gadījumiem gada laikā)</w:t>
            </w:r>
            <w:r w:rsidRPr="00731F1D">
              <w:t xml:space="preserve">.   </w:t>
            </w:r>
          </w:p>
          <w:p w:rsidR="00731F1D" w:rsidRPr="00731F1D" w:rsidRDefault="00731F1D" w:rsidP="00731F1D">
            <w:pPr>
              <w:jc w:val="both"/>
            </w:pPr>
            <w:r w:rsidRPr="00731F1D">
              <w:t>P</w:t>
            </w:r>
            <w:r w:rsidR="00EE6476">
              <w:t>VD</w:t>
            </w:r>
            <w:r w:rsidRPr="00731F1D">
              <w:t>, pamatojoties uz Publisko iepirkumu likumā</w:t>
            </w:r>
            <w:r w:rsidR="00EE6476">
              <w:t xml:space="preserve"> </w:t>
            </w:r>
            <w:r w:rsidRPr="00731F1D">
              <w:t xml:space="preserve">noteikto kārtību, nevar </w:t>
            </w:r>
            <w:r w:rsidR="00EE6476">
              <w:t xml:space="preserve">pietiekami efektīgi </w:t>
            </w:r>
            <w:r w:rsidRPr="00731F1D">
              <w:t xml:space="preserve">veikt nepieciešamos </w:t>
            </w:r>
            <w:r w:rsidR="00EE6476">
              <w:t xml:space="preserve">slimības apkarošanas </w:t>
            </w:r>
            <w:r w:rsidRPr="00731F1D">
              <w:t>pasākumus, jo, ievērojot valsts iepirkumu procedūru, vakcīnu iegāde un to izlikšana var notikt novēloti, līdz ar to veicinot klasiskā cūku mēra izplatību tālāk Latvijas teritorijā.</w:t>
            </w:r>
          </w:p>
          <w:p w:rsidR="00731F1D" w:rsidRPr="00731F1D" w:rsidRDefault="00731F1D" w:rsidP="00731F1D">
            <w:pPr>
              <w:jc w:val="both"/>
            </w:pPr>
            <w:r w:rsidRPr="00731F1D">
              <w:t>Eiropas Savienībā (ES) KCM vakcīnas ražo viens uzņēmums un ierobežotās izmantošanas dēļ tās tiek ražotas tikai pēc pieprasījuma. Lai nodrošinātu vakcinācijas kampaņas laic</w:t>
            </w:r>
            <w:r w:rsidR="00EE6476">
              <w:t>īgu uzsākšanu, vakcīnu ražošanas kompānijai</w:t>
            </w:r>
            <w:r w:rsidRPr="00731F1D">
              <w:t xml:space="preserve"> jau šobrīd ir nepiecieša</w:t>
            </w:r>
            <w:r w:rsidR="00EE6476">
              <w:t>ms uzsākt KCM vakcīnas ražošanu. V</w:t>
            </w:r>
            <w:r w:rsidRPr="00731F1D">
              <w:t>akcīnas ražošana ir laikietilpīgs process, kas sevī ietver dzīva vīrusa savairošanu</w:t>
            </w:r>
            <w:r w:rsidR="00EE6476">
              <w:t xml:space="preserve"> un iestrādi noteiktā substancē</w:t>
            </w:r>
            <w:r w:rsidRPr="00731F1D">
              <w:t>. Šobrīd ražotājam nav juridiska pamata uzsākt vakcīnu ražošanu, jo savstarpēji nav noslēgts līgums.</w:t>
            </w:r>
          </w:p>
          <w:p w:rsidR="00731F1D" w:rsidRPr="00731F1D" w:rsidRDefault="00731F1D" w:rsidP="00731F1D">
            <w:pPr>
              <w:jc w:val="both"/>
            </w:pPr>
            <w:r w:rsidRPr="00731F1D">
              <w:t>Tā kā KCM vakcīnas var iegādāties tikai no viena piegādātāja, šāds iepirkums veicams atbilstoši PIL 63.panta pirmās daļas 2.punktam, kurā paredzēta iespēja vakcīnu iepirkumam piemērot sarunu procedūru, iepriekš nepublicējot paziņojumu par līgumu. Lai veiktu šo iepirkuma procedūru, ir nepieciešams sagatavot sarunu procedūras izvēles pamatojumu, tehniskās specifikācijas, iepirkuma līguma projektu, uzaicinājumu uz sarunām, kā arī citus dokumentus. Sarunu procedūras izvēles pamatojums saskaņā ar P</w:t>
            </w:r>
            <w:r w:rsidR="00E85654">
              <w:t>ublisko iepirkumu likumā</w:t>
            </w:r>
            <w:r w:rsidRPr="00731F1D">
              <w:t xml:space="preserve"> noteikto ir nosūtāms Iepirkumu uzraudzības birojam, kurš 3 darba dienu laikā no pamatojuma saņemšanas dienas izvērtē to un nosūt</w:t>
            </w:r>
            <w:r w:rsidR="00EE6476">
              <w:t>a rakstveida atbildi par to, ka</w:t>
            </w:r>
            <w:r w:rsidRPr="00731F1D">
              <w:t xml:space="preserve"> ir atļauts piemērot sarunu procedūru. Jāņem vērā apstāklis, ka KCM vakcīnu ražotājs nav Latvijas komersants, kas nozīmē, ka pretendentam noteiktajam piedāvājumu iesniegšanas termiņam ir jābūt samērīgam, lai pretendents spētu veikt izvirzīto prasību tulkojumu un sagatavot piedāvājumu. </w:t>
            </w:r>
          </w:p>
          <w:p w:rsidR="00731F1D" w:rsidRPr="00731F1D" w:rsidRDefault="00EE6476" w:rsidP="00731F1D">
            <w:pPr>
              <w:jc w:val="both"/>
            </w:pPr>
            <w:r>
              <w:t xml:space="preserve">Vienlaikus </w:t>
            </w:r>
            <w:r w:rsidR="00A21B4C">
              <w:t>norādā</w:t>
            </w:r>
            <w:r>
              <w:t>m</w:t>
            </w:r>
            <w:r w:rsidR="00731F1D" w:rsidRPr="00731F1D">
              <w:t xml:space="preserve">, ka bez KCM vakcīnas iegādes ir nepieciešams iepirkt arī aviācijas pakalpojumus, jo vakcīnas izlikšana daļēji tiks veikta izmantojot aviāciju ar īpaši KCM vakcinācijas procesam paredzētām iekārtām, tādēļ vakcinācijas procesa īstenošana nav iespējama bez aviācijas pakalpojuma iepirkuma. Tāpat kā vakcīnu ražošanas process, arī vakcīnu izlikšanas process ietver sevī tādus darbietilpīgus sagatavošanās procesus kā vakcīnu izvietošanas vietu apzināšana un lidojumu maršrutu izstrāde, kuru uzsākšana ir nepieciešama nekavējoties. Līdzīgu specifisku aviācijas darbu veikšanai, ES līdzfinansētas programmas – trakumsērgas apkarošanas </w:t>
            </w:r>
            <w:r w:rsidR="00731F1D" w:rsidRPr="00731F1D">
              <w:lastRenderedPageBreak/>
              <w:t xml:space="preserve">programmas īstenošanai, PVD publiskā iepirkuma rezultātā ir noslēdzis līgumu ar SIA „Meža īpašnieku konsultatīvais centrs”. Salīdzinājumā ar analogu pakalpojumu izmaksām Igaunijā un Lietuvā, aviācijas izmaksas trakumsērgas apkarošanas programmas īstenošanai Latvijā ir zemākas. </w:t>
            </w:r>
          </w:p>
          <w:p w:rsidR="00731F1D" w:rsidRPr="00731F1D" w:rsidRDefault="00731F1D" w:rsidP="00731F1D">
            <w:pPr>
              <w:jc w:val="both"/>
            </w:pPr>
            <w:r w:rsidRPr="00731F1D">
              <w:t xml:space="preserve">Lai veiktu vakcināciju, izmantojot aviotehniku, uzņēmumam un lidaparātiem ir jāatbilst aviācijas jomu regulējošiem normatīviem aktiem (tai skaitā licence par tiesībām veikt speciālos aviācijas darbus un gaisa kuģu ekspluatanta apliecība speciālo aviācijas darbu veikšanai u.c.). </w:t>
            </w:r>
          </w:p>
          <w:p w:rsidR="00731F1D" w:rsidRPr="00731F1D" w:rsidRDefault="00731F1D" w:rsidP="00731F1D">
            <w:pPr>
              <w:jc w:val="both"/>
            </w:pPr>
            <w:r w:rsidRPr="00731F1D">
              <w:t>Veicamie darbi ir specifiski un to efektīvai īstenošanai nozīmīga ir  pieredze darbam ar bioloģisku preparātu  (dzīvu novājinātu vīrusa vakcīnu) un tam nepieciešamās temperatūras režīma nodrošināšana, lidaparātu un aprīkojuma piemērotība, kā arī pieredze līdzīgu specifisku darbu veikšanā, tai skaitā aviācijas darbi austrumu pierobežas ierobežojumu zonā.</w:t>
            </w:r>
          </w:p>
          <w:p w:rsidR="00731F1D" w:rsidRPr="00731F1D" w:rsidRDefault="00731F1D" w:rsidP="00731F1D">
            <w:pPr>
              <w:jc w:val="both"/>
            </w:pPr>
            <w:r w:rsidRPr="00731F1D">
              <w:t xml:space="preserve">Spēkā esošā iepirkuma līguma priekšmets un tehniskā specifikācija atšķiras no KCM apkarošanai piemērojamās tehniskās specifikācijas, līdz ar to esošā līguma ietvaros nepieciešamos pakalpojumus veikt nav iespējams. </w:t>
            </w:r>
          </w:p>
          <w:p w:rsidR="00731F1D" w:rsidRDefault="00731F1D" w:rsidP="00731F1D">
            <w:pPr>
              <w:jc w:val="both"/>
            </w:pPr>
            <w:r w:rsidRPr="00731F1D">
              <w:t>Izsludinot atklātu konkursu (P</w:t>
            </w:r>
            <w:r w:rsidR="00E85654">
              <w:t>ublisko iepirkumu likuma</w:t>
            </w:r>
            <w:r w:rsidRPr="00731F1D">
              <w:t xml:space="preserve"> 8.panta pirmās daļas 1.punkts) par aviācijas pakalpojumiem, laiks, kas nepieciešams līdz līguma noslēgšanai, ir vismaz 3 mēneši. </w:t>
            </w:r>
          </w:p>
          <w:p w:rsidR="00A21B4C" w:rsidRDefault="00A21B4C" w:rsidP="00731F1D">
            <w:pPr>
              <w:jc w:val="both"/>
            </w:pPr>
            <w:r>
              <w:t>Bez tam, rīkojumā norādītā aviokompānija ir vienīgais uzņēmums Latvijā, kurš ir atbilstoši aprīkots, lai veiktu šāda veida darbības ar bioloģiskas izcelsmes preparātiem</w:t>
            </w:r>
            <w:r w:rsidR="000F4A1E">
              <w:t xml:space="preserve"> (līdz šim izsludinātajos iepirkumos neviena cita Latvijas vai ārvalstu kompānija nav sniegusi savus piedāvājumus pakalpojumu sniegšanai)</w:t>
            </w:r>
            <w:r w:rsidR="00533F4C">
              <w:t>.</w:t>
            </w:r>
          </w:p>
          <w:p w:rsidR="00643532" w:rsidRPr="00731F1D" w:rsidRDefault="00643532" w:rsidP="00731F1D">
            <w:pPr>
              <w:jc w:val="both"/>
            </w:pPr>
            <w:r>
              <w:t>Lai ārvalstu aviokompānija varētu ienākt Latvijas tirgū un veikt šāda veida pakalpojumus (izplatīt bioloģiskas izcelsmes preparātu) ir nepieciešams vismaz divu nedēļu ilgs laika periods licences</w:t>
            </w:r>
            <w:r w:rsidRPr="00643532">
              <w:t xml:space="preserve"> par tiesībām veikt speciālos aviācijas darbus un gaisa kuģu ekspluatanta apliecība</w:t>
            </w:r>
            <w:r>
              <w:t>s</w:t>
            </w:r>
            <w:r w:rsidRPr="00643532">
              <w:t xml:space="preserve"> speciālo aviācijas darbu veikšanai</w:t>
            </w:r>
            <w:r>
              <w:t xml:space="preserve"> saņemšanai. Pēc attiecīgo dokumentu saņemšanas ir jāizstrādā maršruti un jāsaskaņo vakcīnas izplatīšanas laiki, kas varētu notikt ne ātrāk kā divu mēnešu laikā. Aviācijas kompānijai ir arī jānodrošina vakcīnas glabāšana, tas nozīmē ir jābūt pieejamām saldēšanas </w:t>
            </w:r>
            <w:r w:rsidR="008E3346">
              <w:t>iekārtām un apsardzei, kas nodrošina atbilstošus vakcīnas glabāšanas nosacījumus.</w:t>
            </w:r>
          </w:p>
          <w:p w:rsidR="00533F4C" w:rsidRDefault="00731F1D" w:rsidP="00533F4C">
            <w:pPr>
              <w:jc w:val="both"/>
            </w:pPr>
            <w:r w:rsidRPr="00731F1D">
              <w:t>Izvērtējot nepieciešamo iepirkuma procedūru aptuveno veikšanas termiņu, ir secināms, ka, PVD, piemērojot P</w:t>
            </w:r>
            <w:r w:rsidR="00E85654">
              <w:t>ublisko iepirkumu likumā</w:t>
            </w:r>
            <w:r w:rsidRPr="00731F1D">
              <w:t xml:space="preserve"> noteiktās iepirkumu procedūras, KCM apkarošanas pasākumi (vakcīnu iegāde un to izlikšana) var notikt novēloti, līdz ar to pastāvot augstam riskam, ka KCM ierosinātājs var izplatīties teritorijā, ārpus pašreiz noteiktās un EK saskaņotās inficētās zonas, tādejādi apdraudot cūkkopības un pārtikas pārstrādes nozaru uzņēmumus, t.sk., kavējot eksportu un starptautiskās tirdzniecības aktivitātes.</w:t>
            </w:r>
            <w:r w:rsidR="00A21B4C">
              <w:t xml:space="preserve"> </w:t>
            </w:r>
            <w:r w:rsidR="00533F4C">
              <w:t xml:space="preserve">Novilcinātas darbības rezultātā, kas var rasties piemērojot </w:t>
            </w:r>
            <w:r w:rsidR="00E85654">
              <w:t>Publisko iepirkumu likumā</w:t>
            </w:r>
            <w:r w:rsidR="00533F4C">
              <w:t xml:space="preserve"> noteiktās iepirkuma procedūras, infekcijas slimība var izplatīties arī uz Igauniju un Lietuvu, kas var atstāt nelabvēlīgas sekas attiecībās ar kaimiņvalstu kompetentajām iestādēm un sarunās ar Eiropas Komisiju, kas nosaka ierobežojumus dalībvalstij, kuras </w:t>
            </w:r>
            <w:r w:rsidR="00533F4C">
              <w:lastRenderedPageBreak/>
              <w:t xml:space="preserve">teritorijā ir sevišķi bīstamas infekcijas slimības uzliesmojums. </w:t>
            </w:r>
          </w:p>
          <w:p w:rsidR="00512793" w:rsidRPr="000B4B7F" w:rsidRDefault="00533F4C" w:rsidP="00E035CC">
            <w:pPr>
              <w:jc w:val="both"/>
            </w:pPr>
            <w:r>
              <w:t xml:space="preserve">Pēc Eiropas Komisijas ekspertu pozitīva atzinuma par to, ka </w:t>
            </w:r>
            <w:r w:rsidR="00E035CC">
              <w:t xml:space="preserve">apkarošanas </w:t>
            </w:r>
            <w:r>
              <w:t>pasākumi ir pietiekami efektīgi un laicīgi sākt</w:t>
            </w:r>
            <w:r w:rsidR="00E035CC">
              <w:t>i,</w:t>
            </w:r>
            <w:r>
              <w:t xml:space="preserve"> valstij tiek daļēji segti izdevumi šīs infekcijas slimības apkarošanai. </w:t>
            </w:r>
          </w:p>
        </w:tc>
      </w:tr>
      <w:tr w:rsidR="00512793" w:rsidRPr="00906B31" w:rsidTr="00074BF1">
        <w:trPr>
          <w:jc w:val="center"/>
        </w:trPr>
        <w:tc>
          <w:tcPr>
            <w:tcW w:w="220" w:type="pct"/>
          </w:tcPr>
          <w:p w:rsidR="00512793" w:rsidRPr="00683765" w:rsidRDefault="00512793" w:rsidP="00F37F7E">
            <w:pPr>
              <w:pStyle w:val="Pamatteksts"/>
              <w:widowControl w:val="0"/>
              <w:jc w:val="both"/>
              <w:rPr>
                <w:b w:val="0"/>
                <w:sz w:val="24"/>
                <w:szCs w:val="24"/>
              </w:rPr>
            </w:pPr>
            <w:r w:rsidRPr="00683765">
              <w:rPr>
                <w:b w:val="0"/>
                <w:sz w:val="24"/>
                <w:szCs w:val="24"/>
              </w:rPr>
              <w:lastRenderedPageBreak/>
              <w:t>3.</w:t>
            </w:r>
            <w:r w:rsidRPr="00683765">
              <w:rPr>
                <w:b w:val="0"/>
                <w:color w:val="000000"/>
                <w:sz w:val="24"/>
                <w:szCs w:val="24"/>
              </w:rPr>
              <w:t xml:space="preserve"> </w:t>
            </w:r>
          </w:p>
        </w:tc>
        <w:tc>
          <w:tcPr>
            <w:tcW w:w="1410" w:type="pct"/>
          </w:tcPr>
          <w:p w:rsidR="00512793" w:rsidRPr="00683765" w:rsidRDefault="00512793" w:rsidP="00F37F7E">
            <w:pPr>
              <w:pStyle w:val="Pamatteksts"/>
              <w:widowControl w:val="0"/>
              <w:jc w:val="both"/>
              <w:rPr>
                <w:b w:val="0"/>
                <w:sz w:val="24"/>
                <w:szCs w:val="24"/>
              </w:rPr>
            </w:pPr>
            <w:r w:rsidRPr="00683765">
              <w:rPr>
                <w:b w:val="0"/>
                <w:color w:val="000000"/>
                <w:sz w:val="24"/>
                <w:szCs w:val="24"/>
              </w:rPr>
              <w:t>Saistītie politikas ietekmes novērtējumi un pētījumi</w:t>
            </w:r>
          </w:p>
        </w:tc>
        <w:tc>
          <w:tcPr>
            <w:tcW w:w="3370" w:type="pct"/>
            <w:tcBorders>
              <w:bottom w:val="single" w:sz="4" w:space="0" w:color="auto"/>
            </w:tcBorders>
          </w:tcPr>
          <w:p w:rsidR="00512793" w:rsidRPr="00DF3721" w:rsidRDefault="00512793" w:rsidP="00F37F7E">
            <w:pPr>
              <w:jc w:val="both"/>
            </w:pPr>
            <w:r>
              <w:t>Projekts šo jomu neskar.</w:t>
            </w:r>
          </w:p>
        </w:tc>
      </w:tr>
      <w:tr w:rsidR="00512793" w:rsidRPr="00906B31" w:rsidTr="00074BF1">
        <w:trPr>
          <w:jc w:val="center"/>
        </w:trPr>
        <w:tc>
          <w:tcPr>
            <w:tcW w:w="220" w:type="pct"/>
            <w:tcBorders>
              <w:right w:val="single" w:sz="4" w:space="0" w:color="auto"/>
            </w:tcBorders>
          </w:tcPr>
          <w:p w:rsidR="00512793" w:rsidRPr="00683765" w:rsidRDefault="00512793" w:rsidP="00F37F7E">
            <w:pPr>
              <w:pStyle w:val="naiskr"/>
              <w:spacing w:before="0" w:beforeAutospacing="0" w:after="0" w:afterAutospacing="0"/>
              <w:jc w:val="both"/>
            </w:pPr>
            <w:r>
              <w:t>4</w:t>
            </w:r>
            <w:r w:rsidRPr="00683765">
              <w:t xml:space="preserve">. </w:t>
            </w:r>
          </w:p>
        </w:tc>
        <w:tc>
          <w:tcPr>
            <w:tcW w:w="1410" w:type="pct"/>
            <w:tcBorders>
              <w:right w:val="single" w:sz="4" w:space="0" w:color="auto"/>
            </w:tcBorders>
          </w:tcPr>
          <w:p w:rsidR="00512793" w:rsidRPr="00683765" w:rsidRDefault="00512793" w:rsidP="00F37F7E">
            <w:pPr>
              <w:pStyle w:val="naiskr"/>
              <w:spacing w:before="0" w:beforeAutospacing="0" w:after="0" w:afterAutospacing="0"/>
              <w:jc w:val="both"/>
            </w:pPr>
            <w:r w:rsidRPr="000A0D36">
              <w:rPr>
                <w:color w:val="000000"/>
              </w:rPr>
              <w:t>Tiesiskā regulējuma mērķis un būtība</w:t>
            </w:r>
          </w:p>
        </w:tc>
        <w:tc>
          <w:tcPr>
            <w:tcW w:w="3370" w:type="pct"/>
            <w:tcBorders>
              <w:top w:val="single" w:sz="4" w:space="0" w:color="auto"/>
              <w:left w:val="single" w:sz="4" w:space="0" w:color="auto"/>
              <w:bottom w:val="single" w:sz="4" w:space="0" w:color="auto"/>
              <w:right w:val="single" w:sz="4" w:space="0" w:color="auto"/>
            </w:tcBorders>
          </w:tcPr>
          <w:p w:rsidR="003325EA" w:rsidRPr="003325EA" w:rsidRDefault="00512793" w:rsidP="00F32E4B">
            <w:pPr>
              <w:jc w:val="both"/>
              <w:rPr>
                <w:bCs/>
                <w:iCs/>
              </w:rPr>
            </w:pPr>
            <w:r w:rsidRPr="00F32E4B">
              <w:t>Ir sagatavots Ministru kabineta rīkojuma projekts „</w:t>
            </w:r>
            <w:r w:rsidR="00FC4AAE" w:rsidRPr="00FC4AAE">
              <w:rPr>
                <w:bCs/>
                <w:iCs/>
              </w:rPr>
              <w:t>Par publisko iepirkumu klasiskā cūku mēra apkarošanas pasākumiem</w:t>
            </w:r>
            <w:r w:rsidRPr="00F32E4B">
              <w:rPr>
                <w:bCs/>
              </w:rPr>
              <w:t xml:space="preserve">” (turpmāk – rīkojuma projekts), </w:t>
            </w:r>
            <w:r>
              <w:t xml:space="preserve">kurā noteikts, ka Pārtikas un veterinārais dienests </w:t>
            </w:r>
            <w:r w:rsidR="003325EA">
              <w:t>KCM vakcīnas</w:t>
            </w:r>
            <w:r>
              <w:t xml:space="preserve"> </w:t>
            </w:r>
            <w:r w:rsidR="003325EA">
              <w:t xml:space="preserve">iegādi </w:t>
            </w:r>
            <w:r>
              <w:t xml:space="preserve">un </w:t>
            </w:r>
            <w:r w:rsidR="003325EA">
              <w:t xml:space="preserve">KCM vakcīnas izlikšanas </w:t>
            </w:r>
            <w:r>
              <w:t xml:space="preserve">pakalpojumu iepirkumu </w:t>
            </w:r>
            <w:r w:rsidR="003325EA">
              <w:t xml:space="preserve">drīkst veikt </w:t>
            </w:r>
            <w:r>
              <w:t xml:space="preserve">saskaņā ar </w:t>
            </w:r>
            <w:r w:rsidRPr="004754E8">
              <w:rPr>
                <w:bCs/>
                <w:iCs/>
              </w:rPr>
              <w:t>P</w:t>
            </w:r>
            <w:r w:rsidR="00E85654">
              <w:rPr>
                <w:bCs/>
                <w:iCs/>
              </w:rPr>
              <w:t>ublisko iepirkumu likuma</w:t>
            </w:r>
            <w:r w:rsidRPr="004754E8">
              <w:rPr>
                <w:bCs/>
                <w:iCs/>
              </w:rPr>
              <w:t xml:space="preserve"> 3.panta trešās daļas 2.punktu</w:t>
            </w:r>
            <w:r w:rsidR="003325EA">
              <w:rPr>
                <w:bCs/>
                <w:iCs/>
              </w:rPr>
              <w:t>.  Rīkojuma projektā paredzēts, ka P</w:t>
            </w:r>
            <w:r w:rsidR="00E85654">
              <w:rPr>
                <w:bCs/>
                <w:iCs/>
              </w:rPr>
              <w:t>ublisko iepirkumu likuma</w:t>
            </w:r>
            <w:r w:rsidR="003325EA">
              <w:rPr>
                <w:bCs/>
                <w:iCs/>
              </w:rPr>
              <w:t xml:space="preserve"> 3.panta trešās daļas 2.punktā noteiktā kārtība tiks izmantota pavasara vakcinācijas kampaņas nodrošināšanai</w:t>
            </w:r>
            <w:r w:rsidR="00D807D7">
              <w:rPr>
                <w:bCs/>
                <w:iCs/>
              </w:rPr>
              <w:t xml:space="preserve"> (KCM</w:t>
            </w:r>
            <w:r w:rsidR="00D807D7" w:rsidRPr="00D807D7">
              <w:rPr>
                <w:bCs/>
                <w:iCs/>
              </w:rPr>
              <w:t xml:space="preserve"> vakcīnas 400 000 devu iegāde</w:t>
            </w:r>
            <w:r w:rsidR="00D807D7">
              <w:rPr>
                <w:bCs/>
                <w:iCs/>
              </w:rPr>
              <w:t xml:space="preserve"> par ne vairāk kā </w:t>
            </w:r>
            <w:r w:rsidR="00D807D7" w:rsidRPr="00D807D7">
              <w:rPr>
                <w:bCs/>
                <w:iCs/>
              </w:rPr>
              <w:t>309 760 latiem</w:t>
            </w:r>
            <w:r w:rsidR="00D807D7">
              <w:rPr>
                <w:bCs/>
                <w:iCs/>
              </w:rPr>
              <w:t xml:space="preserve"> un aviācijas kompānijas pakalpojumi vakcīnas izlikšanai ne vairāk kā </w:t>
            </w:r>
            <w:r w:rsidR="00D807D7" w:rsidRPr="00D807D7">
              <w:rPr>
                <w:bCs/>
                <w:iCs/>
              </w:rPr>
              <w:t>99 22</w:t>
            </w:r>
            <w:r w:rsidR="00D807D7">
              <w:rPr>
                <w:bCs/>
                <w:iCs/>
              </w:rPr>
              <w:t>0 latu apmērā)</w:t>
            </w:r>
            <w:r w:rsidR="003325EA">
              <w:rPr>
                <w:bCs/>
                <w:iCs/>
              </w:rPr>
              <w:t>.</w:t>
            </w:r>
          </w:p>
          <w:p w:rsidR="003325EA" w:rsidRDefault="003325EA" w:rsidP="003325EA">
            <w:pPr>
              <w:jc w:val="both"/>
            </w:pPr>
            <w:r>
              <w:t>Vasaras un rudens KCM vakcinācijas kampaņu īstenošanai vakcīnas iegādes un vakcīnas izlikšanas pakalpojumu iepirkumu veiks saskaņā ar P</w:t>
            </w:r>
            <w:r w:rsidR="00E85654">
              <w:t xml:space="preserve">ublisko iepirkumu likumā </w:t>
            </w:r>
            <w:r>
              <w:t>noteiktajām procedūrām.</w:t>
            </w:r>
            <w:r w:rsidRPr="00F32E4B">
              <w:t xml:space="preserve"> </w:t>
            </w:r>
          </w:p>
          <w:p w:rsidR="003325EA" w:rsidRPr="002D50B7" w:rsidRDefault="003325EA" w:rsidP="003325EA">
            <w:pPr>
              <w:jc w:val="both"/>
            </w:pPr>
            <w:r w:rsidRPr="00F32E4B">
              <w:t>Šīs anotācijas I sadaļas 2.punktā minētās problēmas noteikumu projekts atrisinās pilnībā.</w:t>
            </w:r>
          </w:p>
        </w:tc>
      </w:tr>
      <w:tr w:rsidR="00512793" w:rsidRPr="00906B31" w:rsidTr="00074BF1">
        <w:trPr>
          <w:jc w:val="center"/>
        </w:trPr>
        <w:tc>
          <w:tcPr>
            <w:tcW w:w="220" w:type="pct"/>
            <w:tcBorders>
              <w:right w:val="single" w:sz="4" w:space="0" w:color="auto"/>
            </w:tcBorders>
          </w:tcPr>
          <w:p w:rsidR="00512793" w:rsidRDefault="00512793" w:rsidP="00F37F7E">
            <w:pPr>
              <w:pStyle w:val="naiskr"/>
              <w:spacing w:before="0" w:beforeAutospacing="0" w:after="0" w:afterAutospacing="0"/>
              <w:jc w:val="both"/>
            </w:pPr>
            <w:r>
              <w:t xml:space="preserve">5. </w:t>
            </w:r>
          </w:p>
        </w:tc>
        <w:tc>
          <w:tcPr>
            <w:tcW w:w="1410" w:type="pct"/>
            <w:tcBorders>
              <w:right w:val="single" w:sz="4" w:space="0" w:color="auto"/>
            </w:tcBorders>
          </w:tcPr>
          <w:p w:rsidR="00512793" w:rsidRDefault="00512793" w:rsidP="00F37F7E">
            <w:pPr>
              <w:pStyle w:val="naiskr"/>
              <w:spacing w:before="0" w:beforeAutospacing="0" w:after="0" w:afterAutospacing="0"/>
              <w:jc w:val="both"/>
            </w:pPr>
            <w:r w:rsidRPr="000A0D36">
              <w:rPr>
                <w:color w:val="000000"/>
              </w:rPr>
              <w:t>Projekta izstrādē iesaistītās institūcijas</w:t>
            </w:r>
          </w:p>
        </w:tc>
        <w:tc>
          <w:tcPr>
            <w:tcW w:w="3370" w:type="pct"/>
            <w:tcBorders>
              <w:top w:val="single" w:sz="4" w:space="0" w:color="auto"/>
              <w:left w:val="single" w:sz="4" w:space="0" w:color="auto"/>
              <w:bottom w:val="single" w:sz="4" w:space="0" w:color="auto"/>
              <w:right w:val="single" w:sz="4" w:space="0" w:color="auto"/>
            </w:tcBorders>
          </w:tcPr>
          <w:p w:rsidR="00512793" w:rsidRDefault="00512793" w:rsidP="00195807">
            <w:pPr>
              <w:pStyle w:val="naiskr"/>
              <w:jc w:val="both"/>
              <w:rPr>
                <w:color w:val="000000"/>
              </w:rPr>
            </w:pPr>
            <w:r w:rsidRPr="00596B72">
              <w:t>Pārtikas un veterinārais dienests</w:t>
            </w:r>
            <w:r>
              <w:t>.</w:t>
            </w:r>
          </w:p>
        </w:tc>
      </w:tr>
      <w:tr w:rsidR="00512793" w:rsidRPr="00906B31" w:rsidTr="00074BF1">
        <w:trPr>
          <w:jc w:val="center"/>
        </w:trPr>
        <w:tc>
          <w:tcPr>
            <w:tcW w:w="220" w:type="pct"/>
            <w:tcBorders>
              <w:right w:val="single" w:sz="4" w:space="0" w:color="auto"/>
            </w:tcBorders>
          </w:tcPr>
          <w:p w:rsidR="00512793" w:rsidRDefault="00512793" w:rsidP="00F37F7E">
            <w:pPr>
              <w:pStyle w:val="naiskr"/>
              <w:spacing w:before="0" w:beforeAutospacing="0" w:after="0" w:afterAutospacing="0"/>
              <w:jc w:val="both"/>
            </w:pPr>
            <w:r>
              <w:rPr>
                <w:color w:val="000000"/>
              </w:rPr>
              <w:t xml:space="preserve">6. </w:t>
            </w:r>
          </w:p>
        </w:tc>
        <w:tc>
          <w:tcPr>
            <w:tcW w:w="1410" w:type="pct"/>
            <w:tcBorders>
              <w:right w:val="single" w:sz="4" w:space="0" w:color="auto"/>
            </w:tcBorders>
          </w:tcPr>
          <w:p w:rsidR="00512793" w:rsidRDefault="00512793" w:rsidP="00F37F7E">
            <w:pPr>
              <w:pStyle w:val="naiskr"/>
              <w:spacing w:before="0" w:beforeAutospacing="0" w:after="0" w:afterAutospacing="0"/>
              <w:jc w:val="both"/>
            </w:pPr>
            <w:r w:rsidRPr="000A0D36">
              <w:rPr>
                <w:color w:val="000000"/>
              </w:rPr>
              <w:t>Iemesli, kādēļ netika nodrošināta sabiedrības līdzdalība</w:t>
            </w:r>
          </w:p>
        </w:tc>
        <w:tc>
          <w:tcPr>
            <w:tcW w:w="3370" w:type="pct"/>
            <w:tcBorders>
              <w:top w:val="single" w:sz="4" w:space="0" w:color="auto"/>
              <w:left w:val="single" w:sz="4" w:space="0" w:color="auto"/>
              <w:bottom w:val="single" w:sz="4" w:space="0" w:color="auto"/>
              <w:right w:val="single" w:sz="4" w:space="0" w:color="auto"/>
            </w:tcBorders>
          </w:tcPr>
          <w:p w:rsidR="00512793" w:rsidRDefault="00512793" w:rsidP="00F37F7E">
            <w:pPr>
              <w:jc w:val="both"/>
            </w:pPr>
            <w:r>
              <w:t>Projekts šo jomu neskar.</w:t>
            </w:r>
          </w:p>
        </w:tc>
      </w:tr>
      <w:tr w:rsidR="00512793" w:rsidRPr="00906B31" w:rsidTr="00074BF1">
        <w:trPr>
          <w:trHeight w:val="232"/>
          <w:jc w:val="center"/>
        </w:trPr>
        <w:tc>
          <w:tcPr>
            <w:tcW w:w="220" w:type="pct"/>
          </w:tcPr>
          <w:p w:rsidR="00512793" w:rsidRPr="00787D30" w:rsidRDefault="00512793" w:rsidP="00F37F7E">
            <w:pPr>
              <w:pStyle w:val="naiskr"/>
              <w:spacing w:before="0" w:beforeAutospacing="0" w:after="0" w:afterAutospacing="0"/>
              <w:jc w:val="both"/>
            </w:pPr>
            <w:r>
              <w:t>7</w:t>
            </w:r>
            <w:r w:rsidRPr="00787D30">
              <w:t xml:space="preserve">. </w:t>
            </w:r>
          </w:p>
        </w:tc>
        <w:tc>
          <w:tcPr>
            <w:tcW w:w="1410" w:type="pct"/>
          </w:tcPr>
          <w:p w:rsidR="00512793" w:rsidRPr="00787D30" w:rsidRDefault="00512793" w:rsidP="00F37F7E">
            <w:pPr>
              <w:pStyle w:val="naiskr"/>
              <w:spacing w:before="0" w:beforeAutospacing="0" w:after="0" w:afterAutospacing="0"/>
              <w:jc w:val="both"/>
            </w:pPr>
            <w:r w:rsidRPr="00787D30">
              <w:t>Cita informācija</w:t>
            </w:r>
          </w:p>
        </w:tc>
        <w:tc>
          <w:tcPr>
            <w:tcW w:w="3370" w:type="pct"/>
            <w:tcBorders>
              <w:top w:val="single" w:sz="4" w:space="0" w:color="auto"/>
            </w:tcBorders>
          </w:tcPr>
          <w:p w:rsidR="00512793" w:rsidRPr="00787D30" w:rsidRDefault="00512793" w:rsidP="0042726D">
            <w:pPr>
              <w:pStyle w:val="naiskr"/>
              <w:spacing w:before="0" w:beforeAutospacing="0" w:after="0" w:afterAutospacing="0"/>
              <w:jc w:val="both"/>
            </w:pPr>
            <w:r>
              <w:rPr>
                <w:bCs/>
                <w:iCs/>
              </w:rPr>
              <w:t xml:space="preserve"> </w:t>
            </w:r>
          </w:p>
        </w:tc>
      </w:tr>
      <w:tr w:rsidR="00512793" w:rsidRPr="00906B31" w:rsidTr="00074BF1">
        <w:trPr>
          <w:jc w:val="center"/>
        </w:trPr>
        <w:tc>
          <w:tcPr>
            <w:tcW w:w="5000" w:type="pct"/>
            <w:gridSpan w:val="3"/>
          </w:tcPr>
          <w:p w:rsidR="00512793" w:rsidRPr="00787D30" w:rsidRDefault="00512793" w:rsidP="00F37F7E">
            <w:pPr>
              <w:pStyle w:val="naisnod"/>
              <w:spacing w:before="0" w:beforeAutospacing="0" w:after="0" w:afterAutospacing="0"/>
              <w:jc w:val="center"/>
            </w:pPr>
            <w:r w:rsidRPr="00906B31">
              <w:rPr>
                <w:b/>
                <w:bCs/>
              </w:rPr>
              <w:t>I</w:t>
            </w:r>
            <w:r>
              <w:rPr>
                <w:b/>
                <w:bCs/>
              </w:rPr>
              <w:t>I</w:t>
            </w:r>
            <w:r w:rsidRPr="00906B31">
              <w:rPr>
                <w:b/>
                <w:bCs/>
              </w:rPr>
              <w:t xml:space="preserve">. </w:t>
            </w:r>
            <w:r>
              <w:rPr>
                <w:b/>
                <w:bCs/>
              </w:rPr>
              <w:t xml:space="preserve">Tiesību </w:t>
            </w:r>
            <w:r w:rsidRPr="00906B31">
              <w:rPr>
                <w:b/>
                <w:bCs/>
              </w:rPr>
              <w:t>akt</w:t>
            </w:r>
            <w:r>
              <w:rPr>
                <w:b/>
                <w:bCs/>
              </w:rPr>
              <w:t>a projekta ietekme uz sabiedrību</w:t>
            </w:r>
          </w:p>
        </w:tc>
      </w:tr>
      <w:tr w:rsidR="00512793" w:rsidRPr="00906B31" w:rsidTr="00074BF1">
        <w:trPr>
          <w:jc w:val="center"/>
        </w:trPr>
        <w:tc>
          <w:tcPr>
            <w:tcW w:w="220" w:type="pct"/>
          </w:tcPr>
          <w:p w:rsidR="00512793" w:rsidRPr="00787D30" w:rsidRDefault="00512793" w:rsidP="00F37F7E">
            <w:pPr>
              <w:pStyle w:val="naiskr"/>
              <w:tabs>
                <w:tab w:val="left" w:pos="3044"/>
              </w:tabs>
              <w:spacing w:before="0" w:beforeAutospacing="0" w:after="0" w:afterAutospacing="0"/>
              <w:jc w:val="both"/>
            </w:pPr>
            <w:r w:rsidRPr="00787D30">
              <w:t xml:space="preserve">1. </w:t>
            </w:r>
          </w:p>
        </w:tc>
        <w:tc>
          <w:tcPr>
            <w:tcW w:w="1410" w:type="pct"/>
          </w:tcPr>
          <w:p w:rsidR="00512793" w:rsidRPr="00787D30" w:rsidRDefault="00512793" w:rsidP="00F37F7E">
            <w:pPr>
              <w:pStyle w:val="naiskr"/>
              <w:tabs>
                <w:tab w:val="left" w:pos="3044"/>
              </w:tabs>
              <w:spacing w:before="0" w:beforeAutospacing="0" w:after="0" w:afterAutospacing="0"/>
              <w:jc w:val="both"/>
            </w:pPr>
            <w:r>
              <w:rPr>
                <w:color w:val="000000"/>
              </w:rPr>
              <w:t xml:space="preserve">Sabiedrības </w:t>
            </w:r>
            <w:proofErr w:type="spellStart"/>
            <w:r>
              <w:rPr>
                <w:color w:val="000000"/>
              </w:rPr>
              <w:t>mērķgrupa</w:t>
            </w:r>
            <w:proofErr w:type="spellEnd"/>
          </w:p>
        </w:tc>
        <w:tc>
          <w:tcPr>
            <w:tcW w:w="3370" w:type="pct"/>
          </w:tcPr>
          <w:p w:rsidR="00512793" w:rsidRPr="00BC46BE" w:rsidRDefault="00512793" w:rsidP="00D112F5">
            <w:pPr>
              <w:jc w:val="both"/>
            </w:pPr>
            <w:r>
              <w:t xml:space="preserve">Projekts šo jomu neskar. </w:t>
            </w:r>
          </w:p>
        </w:tc>
      </w:tr>
      <w:tr w:rsidR="00512793" w:rsidRPr="00906B31" w:rsidTr="00074BF1">
        <w:trPr>
          <w:jc w:val="center"/>
        </w:trPr>
        <w:tc>
          <w:tcPr>
            <w:tcW w:w="220" w:type="pct"/>
          </w:tcPr>
          <w:p w:rsidR="00512793" w:rsidRDefault="00512793" w:rsidP="00D112F5">
            <w:pPr>
              <w:jc w:val="both"/>
            </w:pPr>
            <w:r>
              <w:t xml:space="preserve"> 2. </w:t>
            </w:r>
          </w:p>
        </w:tc>
        <w:tc>
          <w:tcPr>
            <w:tcW w:w="1410" w:type="pct"/>
          </w:tcPr>
          <w:p w:rsidR="00512793" w:rsidRDefault="00512793" w:rsidP="00D112F5">
            <w:pPr>
              <w:jc w:val="both"/>
            </w:pPr>
            <w:r>
              <w:t xml:space="preserve">Citas sabiedrības grupas (bez </w:t>
            </w:r>
            <w:proofErr w:type="spellStart"/>
            <w:r>
              <w:t>mērķgrupas</w:t>
            </w:r>
            <w:proofErr w:type="spellEnd"/>
            <w:r>
              <w:t>), kuras tiesiskais regulējums arī ietekmē vai varētu ietekmēt</w:t>
            </w:r>
          </w:p>
        </w:tc>
        <w:tc>
          <w:tcPr>
            <w:tcW w:w="3370" w:type="pct"/>
            <w:tcBorders>
              <w:bottom w:val="single" w:sz="4" w:space="0" w:color="auto"/>
            </w:tcBorders>
          </w:tcPr>
          <w:p w:rsidR="00512793" w:rsidRDefault="00512793" w:rsidP="00D112F5">
            <w:pPr>
              <w:jc w:val="both"/>
            </w:pPr>
            <w:r>
              <w:t>Projekts šo jomu neskar.</w:t>
            </w:r>
          </w:p>
        </w:tc>
      </w:tr>
      <w:tr w:rsidR="00512793" w:rsidRPr="00906B31" w:rsidTr="00074BF1">
        <w:trPr>
          <w:jc w:val="center"/>
        </w:trPr>
        <w:tc>
          <w:tcPr>
            <w:tcW w:w="220" w:type="pct"/>
          </w:tcPr>
          <w:p w:rsidR="00512793" w:rsidRDefault="00512793" w:rsidP="00D112F5">
            <w:pPr>
              <w:jc w:val="both"/>
            </w:pPr>
            <w:r>
              <w:t xml:space="preserve"> 3. </w:t>
            </w:r>
          </w:p>
        </w:tc>
        <w:tc>
          <w:tcPr>
            <w:tcW w:w="1410" w:type="pct"/>
          </w:tcPr>
          <w:p w:rsidR="00512793" w:rsidRDefault="00512793" w:rsidP="00D112F5">
            <w:pPr>
              <w:jc w:val="both"/>
            </w:pPr>
            <w:r>
              <w:t>Tiesiskā regulējuma finansiālā ietekme</w:t>
            </w:r>
          </w:p>
        </w:tc>
        <w:tc>
          <w:tcPr>
            <w:tcW w:w="3370" w:type="pct"/>
            <w:tcBorders>
              <w:bottom w:val="single" w:sz="4" w:space="0" w:color="auto"/>
            </w:tcBorders>
          </w:tcPr>
          <w:p w:rsidR="00282B22" w:rsidRPr="00282B22" w:rsidRDefault="00282B22" w:rsidP="00282B22">
            <w:pPr>
              <w:jc w:val="both"/>
              <w:rPr>
                <w:bCs/>
                <w:iCs/>
              </w:rPr>
            </w:pPr>
            <w:r w:rsidRPr="00282B22">
              <w:t xml:space="preserve">Saskaņā ar rīkojuma projektu </w:t>
            </w:r>
            <w:r w:rsidRPr="00282B22">
              <w:rPr>
                <w:bCs/>
              </w:rPr>
              <w:tab/>
              <w:t>Pārtikas un veterinārajam dienestam tiek piešķirtas tiesības iegādāties preces un pakalpojumus saskaņā ar</w:t>
            </w:r>
            <w:r w:rsidRPr="00282B22">
              <w:rPr>
                <w:bCs/>
                <w:iCs/>
              </w:rPr>
              <w:t xml:space="preserve"> Publisko iepirkumu likuma 3.panta trešās daļas 2.punktu, kurā paredzēts, ka:</w:t>
            </w:r>
          </w:p>
          <w:p w:rsidR="00282B22" w:rsidRPr="00282B22" w:rsidRDefault="00282B22" w:rsidP="00282B22">
            <w:pPr>
              <w:jc w:val="both"/>
              <w:rPr>
                <w:bCs/>
                <w:iCs/>
              </w:rPr>
            </w:pPr>
            <w:r w:rsidRPr="00282B22">
              <w:rPr>
                <w:bCs/>
                <w:iCs/>
              </w:rPr>
              <w:t>1.</w:t>
            </w:r>
            <w:r w:rsidR="003325EA">
              <w:rPr>
                <w:bCs/>
                <w:iCs/>
              </w:rPr>
              <w:t xml:space="preserve"> klasiskā cūku mēra vakcīnas 4</w:t>
            </w:r>
            <w:r w:rsidRPr="00282B22">
              <w:rPr>
                <w:bCs/>
                <w:iCs/>
              </w:rPr>
              <w:t xml:space="preserve">00 000 devu iegāde tiek veikta </w:t>
            </w:r>
            <w:proofErr w:type="spellStart"/>
            <w:r w:rsidRPr="00282B22">
              <w:rPr>
                <w:bCs/>
                <w:iCs/>
                <w:lang w:val="de-DE"/>
              </w:rPr>
              <w:t>no</w:t>
            </w:r>
            <w:proofErr w:type="spellEnd"/>
            <w:r w:rsidRPr="00282B22">
              <w:rPr>
                <w:bCs/>
                <w:iCs/>
                <w:lang w:val="de-DE"/>
              </w:rPr>
              <w:t xml:space="preserve"> </w:t>
            </w:r>
            <w:proofErr w:type="spellStart"/>
            <w:r w:rsidR="00E85654">
              <w:rPr>
                <w:bCs/>
                <w:iCs/>
                <w:lang w:val="de-DE"/>
              </w:rPr>
              <w:t>sabiedrības</w:t>
            </w:r>
            <w:proofErr w:type="spellEnd"/>
            <w:r w:rsidRPr="00282B22">
              <w:rPr>
                <w:bCs/>
                <w:iCs/>
                <w:lang w:val="de-DE"/>
              </w:rPr>
              <w:t xml:space="preserve"> </w:t>
            </w:r>
            <w:r w:rsidR="00F62768" w:rsidRPr="00F62768">
              <w:rPr>
                <w:bCs/>
                <w:iCs/>
                <w:lang w:val="de-DE"/>
              </w:rPr>
              <w:t xml:space="preserve">RIEMSER </w:t>
            </w:r>
            <w:proofErr w:type="spellStart"/>
            <w:r w:rsidR="00F62768" w:rsidRPr="00F62768">
              <w:rPr>
                <w:bCs/>
                <w:iCs/>
                <w:lang w:val="de-DE"/>
              </w:rPr>
              <w:t>Pharma</w:t>
            </w:r>
            <w:proofErr w:type="spellEnd"/>
            <w:r w:rsidR="00F62768" w:rsidRPr="00F62768">
              <w:rPr>
                <w:bCs/>
                <w:iCs/>
                <w:lang w:val="de-DE"/>
              </w:rPr>
              <w:t xml:space="preserve"> GmbH, An der </w:t>
            </w:r>
            <w:proofErr w:type="spellStart"/>
            <w:r w:rsidR="00F62768" w:rsidRPr="00F62768">
              <w:rPr>
                <w:bCs/>
                <w:iCs/>
                <w:lang w:val="de-DE"/>
              </w:rPr>
              <w:t>Wiek</w:t>
            </w:r>
            <w:proofErr w:type="spellEnd"/>
            <w:r w:rsidR="00F62768" w:rsidRPr="00F62768">
              <w:rPr>
                <w:bCs/>
                <w:iCs/>
                <w:lang w:val="de-DE"/>
              </w:rPr>
              <w:t xml:space="preserve"> 7, 17493 Greifswald - Insel </w:t>
            </w:r>
            <w:proofErr w:type="spellStart"/>
            <w:r w:rsidR="00F62768" w:rsidRPr="00F62768">
              <w:rPr>
                <w:bCs/>
                <w:iCs/>
                <w:lang w:val="de-DE"/>
              </w:rPr>
              <w:t>Riems</w:t>
            </w:r>
            <w:proofErr w:type="spellEnd"/>
            <w:r w:rsidR="00F62768" w:rsidRPr="00F62768">
              <w:rPr>
                <w:bCs/>
                <w:iCs/>
                <w:lang w:val="de-DE"/>
              </w:rPr>
              <w:t>, GERMANY</w:t>
            </w:r>
            <w:r w:rsidRPr="00282B22">
              <w:rPr>
                <w:bCs/>
                <w:iCs/>
                <w:lang w:val="de-DE"/>
              </w:rPr>
              <w:t xml:space="preserve"> (</w:t>
            </w:r>
            <w:proofErr w:type="spellStart"/>
            <w:r w:rsidRPr="00282B22">
              <w:rPr>
                <w:bCs/>
                <w:iCs/>
                <w:lang w:val="de-DE"/>
              </w:rPr>
              <w:t>finanšu</w:t>
            </w:r>
            <w:proofErr w:type="spellEnd"/>
            <w:r w:rsidRPr="00282B22">
              <w:rPr>
                <w:bCs/>
                <w:iCs/>
                <w:lang w:val="de-DE"/>
              </w:rPr>
              <w:t xml:space="preserve"> </w:t>
            </w:r>
            <w:proofErr w:type="spellStart"/>
            <w:r w:rsidRPr="00282B22">
              <w:rPr>
                <w:bCs/>
                <w:iCs/>
                <w:lang w:val="de-DE"/>
              </w:rPr>
              <w:t>resursu</w:t>
            </w:r>
            <w:proofErr w:type="spellEnd"/>
            <w:r w:rsidRPr="00282B22">
              <w:rPr>
                <w:bCs/>
                <w:iCs/>
                <w:lang w:val="de-DE"/>
              </w:rPr>
              <w:t xml:space="preserve"> </w:t>
            </w:r>
            <w:proofErr w:type="spellStart"/>
            <w:r w:rsidRPr="00282B22">
              <w:rPr>
                <w:bCs/>
                <w:iCs/>
                <w:lang w:val="de-DE"/>
              </w:rPr>
              <w:t>izlietojums</w:t>
            </w:r>
            <w:proofErr w:type="spellEnd"/>
            <w:r w:rsidRPr="00282B22">
              <w:rPr>
                <w:bCs/>
                <w:iCs/>
                <w:lang w:val="de-DE"/>
              </w:rPr>
              <w:t xml:space="preserve"> </w:t>
            </w:r>
            <w:proofErr w:type="spellStart"/>
            <w:r w:rsidRPr="00282B22">
              <w:rPr>
                <w:bCs/>
                <w:iCs/>
                <w:lang w:val="de-DE"/>
              </w:rPr>
              <w:t>izdevumu</w:t>
            </w:r>
            <w:proofErr w:type="spellEnd"/>
            <w:r w:rsidRPr="00282B22">
              <w:rPr>
                <w:bCs/>
                <w:iCs/>
                <w:lang w:val="de-DE"/>
              </w:rPr>
              <w:t xml:space="preserve"> </w:t>
            </w:r>
            <w:proofErr w:type="spellStart"/>
            <w:r w:rsidRPr="00282B22">
              <w:rPr>
                <w:bCs/>
                <w:iCs/>
                <w:lang w:val="de-DE"/>
              </w:rPr>
              <w:t>segšanai</w:t>
            </w:r>
            <w:proofErr w:type="spellEnd"/>
            <w:r w:rsidRPr="00282B22">
              <w:rPr>
                <w:bCs/>
                <w:iCs/>
                <w:lang w:val="de-DE"/>
              </w:rPr>
              <w:t xml:space="preserve"> </w:t>
            </w:r>
            <w:proofErr w:type="spellStart"/>
            <w:r w:rsidRPr="00282B22">
              <w:rPr>
                <w:bCs/>
                <w:iCs/>
                <w:lang w:val="de-DE"/>
              </w:rPr>
              <w:t>tiek</w:t>
            </w:r>
            <w:proofErr w:type="spellEnd"/>
            <w:r w:rsidRPr="00282B22">
              <w:rPr>
                <w:bCs/>
                <w:iCs/>
                <w:lang w:val="de-DE"/>
              </w:rPr>
              <w:t xml:space="preserve"> </w:t>
            </w:r>
            <w:proofErr w:type="spellStart"/>
            <w:r w:rsidRPr="00282B22">
              <w:rPr>
                <w:bCs/>
                <w:iCs/>
                <w:lang w:val="de-DE"/>
              </w:rPr>
              <w:t>noteikts</w:t>
            </w:r>
            <w:proofErr w:type="spellEnd"/>
            <w:r w:rsidRPr="00282B22">
              <w:rPr>
                <w:bCs/>
                <w:iCs/>
                <w:lang w:val="de-DE"/>
              </w:rPr>
              <w:t xml:space="preserve"> </w:t>
            </w:r>
            <w:r w:rsidRPr="00282B22">
              <w:rPr>
                <w:bCs/>
                <w:iCs/>
              </w:rPr>
              <w:t xml:space="preserve">līdz </w:t>
            </w:r>
            <w:r w:rsidR="003325EA" w:rsidRPr="003325EA">
              <w:rPr>
                <w:bCs/>
                <w:iCs/>
              </w:rPr>
              <w:t>309 760 latiem</w:t>
            </w:r>
            <w:r w:rsidRPr="00282B22">
              <w:rPr>
                <w:bCs/>
                <w:iCs/>
              </w:rPr>
              <w:t>);</w:t>
            </w:r>
          </w:p>
          <w:p w:rsidR="00512793" w:rsidRPr="00E035CC" w:rsidRDefault="00282B22" w:rsidP="00FC4AAE">
            <w:pPr>
              <w:jc w:val="both"/>
              <w:rPr>
                <w:bCs/>
                <w:iCs/>
              </w:rPr>
            </w:pPr>
            <w:r w:rsidRPr="00282B22">
              <w:rPr>
                <w:bCs/>
                <w:iCs/>
              </w:rPr>
              <w:t xml:space="preserve">2. aviācijas kompānijas SIA „Meža īpašnieku konsultatīvais centrs”, </w:t>
            </w:r>
            <w:proofErr w:type="spellStart"/>
            <w:r w:rsidRPr="00282B22">
              <w:rPr>
                <w:bCs/>
                <w:iCs/>
              </w:rPr>
              <w:t>reģ</w:t>
            </w:r>
            <w:proofErr w:type="spellEnd"/>
            <w:r w:rsidRPr="00282B22">
              <w:rPr>
                <w:bCs/>
                <w:iCs/>
              </w:rPr>
              <w:t>. Nr.44103010465, juridiskā adrese: „Lidlauks”, Priekuļu pag., Priekuļu nov., LV – 4101</w:t>
            </w:r>
            <w:r w:rsidRPr="00282B22">
              <w:rPr>
                <w:b/>
                <w:bCs/>
                <w:iCs/>
              </w:rPr>
              <w:t xml:space="preserve"> </w:t>
            </w:r>
            <w:r w:rsidRPr="00282B22">
              <w:rPr>
                <w:bCs/>
                <w:iCs/>
              </w:rPr>
              <w:t xml:space="preserve">pakalpojumu segšanai, lai veiktu vakcīnas izlikšanu inficētās teritorijas robežās tiek piešķirti līdz </w:t>
            </w:r>
            <w:r w:rsidR="00D10E6D">
              <w:rPr>
                <w:bCs/>
                <w:iCs/>
              </w:rPr>
              <w:t>99 22</w:t>
            </w:r>
            <w:r w:rsidR="003325EA" w:rsidRPr="003325EA">
              <w:rPr>
                <w:bCs/>
                <w:iCs/>
              </w:rPr>
              <w:t>0 latiem</w:t>
            </w:r>
            <w:r w:rsidRPr="00282B22">
              <w:rPr>
                <w:bCs/>
                <w:iCs/>
              </w:rPr>
              <w:t>.</w:t>
            </w:r>
          </w:p>
        </w:tc>
      </w:tr>
      <w:tr w:rsidR="00512793" w:rsidRPr="00906B31" w:rsidTr="00074BF1">
        <w:trPr>
          <w:jc w:val="center"/>
        </w:trPr>
        <w:tc>
          <w:tcPr>
            <w:tcW w:w="220" w:type="pct"/>
            <w:tcBorders>
              <w:right w:val="single" w:sz="4" w:space="0" w:color="auto"/>
            </w:tcBorders>
          </w:tcPr>
          <w:p w:rsidR="00512793" w:rsidRDefault="00512793" w:rsidP="00D112F5">
            <w:pPr>
              <w:jc w:val="both"/>
            </w:pPr>
            <w:r>
              <w:t xml:space="preserve"> 4. </w:t>
            </w:r>
          </w:p>
        </w:tc>
        <w:tc>
          <w:tcPr>
            <w:tcW w:w="1410" w:type="pct"/>
            <w:tcBorders>
              <w:right w:val="single" w:sz="4" w:space="0" w:color="auto"/>
            </w:tcBorders>
          </w:tcPr>
          <w:p w:rsidR="00512793" w:rsidRDefault="00512793" w:rsidP="00D112F5">
            <w:pPr>
              <w:jc w:val="both"/>
            </w:pPr>
            <w:r>
              <w:t>Tiesiskā regulējuma nefinansiālā ietekme</w:t>
            </w:r>
          </w:p>
        </w:tc>
        <w:tc>
          <w:tcPr>
            <w:tcW w:w="3370" w:type="pct"/>
            <w:tcBorders>
              <w:top w:val="single" w:sz="4" w:space="0" w:color="auto"/>
              <w:left w:val="single" w:sz="4" w:space="0" w:color="auto"/>
              <w:bottom w:val="single" w:sz="4" w:space="0" w:color="auto"/>
              <w:right w:val="single" w:sz="4" w:space="0" w:color="auto"/>
            </w:tcBorders>
          </w:tcPr>
          <w:p w:rsidR="00512793" w:rsidRDefault="00512793" w:rsidP="00074BF1">
            <w:pPr>
              <w:jc w:val="both"/>
            </w:pPr>
            <w:r>
              <w:t xml:space="preserve">Projekts šo jomu neskar. </w:t>
            </w:r>
          </w:p>
        </w:tc>
      </w:tr>
      <w:tr w:rsidR="00512793" w:rsidRPr="00906B31" w:rsidTr="00074BF1">
        <w:trPr>
          <w:jc w:val="center"/>
        </w:trPr>
        <w:tc>
          <w:tcPr>
            <w:tcW w:w="220" w:type="pct"/>
            <w:tcBorders>
              <w:right w:val="single" w:sz="4" w:space="0" w:color="auto"/>
            </w:tcBorders>
          </w:tcPr>
          <w:p w:rsidR="00512793" w:rsidRDefault="00512793" w:rsidP="00D112F5">
            <w:pPr>
              <w:jc w:val="both"/>
            </w:pPr>
            <w:r>
              <w:t> 5.</w:t>
            </w:r>
          </w:p>
        </w:tc>
        <w:tc>
          <w:tcPr>
            <w:tcW w:w="1410" w:type="pct"/>
            <w:tcBorders>
              <w:right w:val="single" w:sz="4" w:space="0" w:color="auto"/>
            </w:tcBorders>
          </w:tcPr>
          <w:p w:rsidR="00512793" w:rsidRDefault="00512793" w:rsidP="00D112F5">
            <w:pPr>
              <w:jc w:val="both"/>
            </w:pPr>
            <w:r>
              <w:t>Administratīvās procedūras raksturojums</w:t>
            </w:r>
          </w:p>
        </w:tc>
        <w:tc>
          <w:tcPr>
            <w:tcW w:w="3370" w:type="pct"/>
            <w:tcBorders>
              <w:top w:val="single" w:sz="4" w:space="0" w:color="auto"/>
              <w:left w:val="single" w:sz="4" w:space="0" w:color="auto"/>
              <w:bottom w:val="single" w:sz="4" w:space="0" w:color="auto"/>
              <w:right w:val="single" w:sz="4" w:space="0" w:color="auto"/>
            </w:tcBorders>
          </w:tcPr>
          <w:p w:rsidR="00512793" w:rsidRPr="001841F1" w:rsidRDefault="00512793" w:rsidP="00D112F5">
            <w:pPr>
              <w:jc w:val="both"/>
            </w:pPr>
            <w:r>
              <w:t>Projekts šo jomu neskar</w:t>
            </w:r>
            <w:r w:rsidRPr="001841F1">
              <w:t>.</w:t>
            </w:r>
          </w:p>
        </w:tc>
      </w:tr>
      <w:tr w:rsidR="00512793" w:rsidRPr="00906B31" w:rsidTr="00074BF1">
        <w:trPr>
          <w:jc w:val="center"/>
        </w:trPr>
        <w:tc>
          <w:tcPr>
            <w:tcW w:w="220" w:type="pct"/>
            <w:tcBorders>
              <w:right w:val="single" w:sz="4" w:space="0" w:color="auto"/>
            </w:tcBorders>
          </w:tcPr>
          <w:p w:rsidR="00512793" w:rsidRDefault="00512793" w:rsidP="00D112F5">
            <w:pPr>
              <w:jc w:val="both"/>
            </w:pPr>
            <w:r>
              <w:lastRenderedPageBreak/>
              <w:t>6.  </w:t>
            </w:r>
          </w:p>
        </w:tc>
        <w:tc>
          <w:tcPr>
            <w:tcW w:w="1410" w:type="pct"/>
            <w:tcBorders>
              <w:right w:val="single" w:sz="4" w:space="0" w:color="auto"/>
            </w:tcBorders>
          </w:tcPr>
          <w:p w:rsidR="00512793" w:rsidRDefault="00512793" w:rsidP="00D112F5">
            <w:pPr>
              <w:jc w:val="both"/>
            </w:pPr>
            <w:r>
              <w:t>Administratīvo izmaksu monetārs novērtējums</w:t>
            </w:r>
          </w:p>
        </w:tc>
        <w:tc>
          <w:tcPr>
            <w:tcW w:w="3370" w:type="pct"/>
            <w:tcBorders>
              <w:top w:val="single" w:sz="4" w:space="0" w:color="auto"/>
              <w:left w:val="single" w:sz="4" w:space="0" w:color="auto"/>
              <w:bottom w:val="single" w:sz="4" w:space="0" w:color="auto"/>
              <w:right w:val="single" w:sz="4" w:space="0" w:color="auto"/>
            </w:tcBorders>
          </w:tcPr>
          <w:p w:rsidR="00512793" w:rsidRDefault="00512793" w:rsidP="00D112F5">
            <w:pPr>
              <w:jc w:val="both"/>
            </w:pPr>
            <w:r>
              <w:t>Projekts šo jomu neskar.</w:t>
            </w:r>
          </w:p>
        </w:tc>
      </w:tr>
      <w:tr w:rsidR="00512793" w:rsidRPr="00906B31" w:rsidTr="00074BF1">
        <w:trPr>
          <w:trHeight w:val="232"/>
          <w:jc w:val="center"/>
        </w:trPr>
        <w:tc>
          <w:tcPr>
            <w:tcW w:w="220" w:type="pct"/>
          </w:tcPr>
          <w:p w:rsidR="00512793" w:rsidRDefault="00512793" w:rsidP="00D112F5">
            <w:pPr>
              <w:jc w:val="both"/>
            </w:pPr>
            <w:r>
              <w:t xml:space="preserve">7. </w:t>
            </w:r>
          </w:p>
        </w:tc>
        <w:tc>
          <w:tcPr>
            <w:tcW w:w="1410" w:type="pct"/>
          </w:tcPr>
          <w:p w:rsidR="00512793" w:rsidRDefault="00512793" w:rsidP="00D112F5">
            <w:pPr>
              <w:jc w:val="both"/>
            </w:pPr>
            <w:r>
              <w:t>Cita informācija</w:t>
            </w:r>
          </w:p>
        </w:tc>
        <w:tc>
          <w:tcPr>
            <w:tcW w:w="3370" w:type="pct"/>
            <w:tcBorders>
              <w:top w:val="single" w:sz="4" w:space="0" w:color="auto"/>
            </w:tcBorders>
          </w:tcPr>
          <w:p w:rsidR="00512793" w:rsidRDefault="00512793" w:rsidP="00D112F5">
            <w:pPr>
              <w:jc w:val="both"/>
            </w:pPr>
            <w:r>
              <w:t>Nav</w:t>
            </w:r>
          </w:p>
        </w:tc>
      </w:tr>
    </w:tbl>
    <w:p w:rsidR="007E27B2" w:rsidRDefault="007E27B2" w:rsidP="004B28A8"/>
    <w:tbl>
      <w:tblPr>
        <w:tblW w:w="5655" w:type="pct"/>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1"/>
        <w:gridCol w:w="1267"/>
        <w:gridCol w:w="1447"/>
        <w:gridCol w:w="1447"/>
        <w:gridCol w:w="1447"/>
        <w:gridCol w:w="2275"/>
      </w:tblGrid>
      <w:tr w:rsidR="00D10E6D" w:rsidRPr="00D10E6D" w:rsidTr="00B555F6">
        <w:tc>
          <w:tcPr>
            <w:tcW w:w="4994" w:type="pct"/>
            <w:gridSpan w:val="6"/>
          </w:tcPr>
          <w:p w:rsidR="00D10E6D" w:rsidRPr="00D10E6D" w:rsidRDefault="00D10E6D" w:rsidP="00D10E6D">
            <w:r w:rsidRPr="00D10E6D">
              <w:rPr>
                <w:b/>
                <w:bCs/>
              </w:rPr>
              <w:t>III. Tiesību akta projekta ietekme uz valsts budžetu un pašvaldību budžetiem</w:t>
            </w:r>
          </w:p>
        </w:tc>
      </w:tr>
      <w:tr w:rsidR="00D10E6D" w:rsidRPr="00D10E6D" w:rsidTr="00B555F6">
        <w:tc>
          <w:tcPr>
            <w:tcW w:w="1246" w:type="pct"/>
            <w:vMerge w:val="restart"/>
          </w:tcPr>
          <w:p w:rsidR="00D10E6D" w:rsidRPr="00D10E6D" w:rsidRDefault="00D10E6D" w:rsidP="00D10E6D">
            <w:r w:rsidRPr="00D10E6D">
              <w:rPr>
                <w:b/>
                <w:bCs/>
              </w:rPr>
              <w:t>Rādītāji</w:t>
            </w:r>
          </w:p>
        </w:tc>
        <w:tc>
          <w:tcPr>
            <w:tcW w:w="1290" w:type="pct"/>
            <w:gridSpan w:val="2"/>
            <w:vMerge w:val="restart"/>
          </w:tcPr>
          <w:p w:rsidR="00D10E6D" w:rsidRPr="00D10E6D" w:rsidRDefault="00D10E6D" w:rsidP="00D10E6D">
            <w:r w:rsidRPr="00D10E6D">
              <w:rPr>
                <w:b/>
                <w:bCs/>
              </w:rPr>
              <w:t>2013.gads</w:t>
            </w:r>
          </w:p>
        </w:tc>
        <w:tc>
          <w:tcPr>
            <w:tcW w:w="2458" w:type="pct"/>
            <w:gridSpan w:val="3"/>
          </w:tcPr>
          <w:p w:rsidR="00D10E6D" w:rsidRPr="00D10E6D" w:rsidRDefault="00D10E6D" w:rsidP="00D10E6D">
            <w:pPr>
              <w:rPr>
                <w:b/>
              </w:rPr>
            </w:pPr>
            <w:r w:rsidRPr="00D10E6D">
              <w:rPr>
                <w:b/>
              </w:rPr>
              <w:t>Turpmākie trīs gadi (tūkst. latu)</w:t>
            </w:r>
          </w:p>
        </w:tc>
      </w:tr>
      <w:tr w:rsidR="00D10E6D" w:rsidRPr="00D10E6D" w:rsidTr="00B555F6">
        <w:tc>
          <w:tcPr>
            <w:tcW w:w="1246" w:type="pct"/>
            <w:vMerge/>
          </w:tcPr>
          <w:p w:rsidR="00D10E6D" w:rsidRPr="00D10E6D" w:rsidRDefault="00D10E6D" w:rsidP="00D10E6D"/>
        </w:tc>
        <w:tc>
          <w:tcPr>
            <w:tcW w:w="1290" w:type="pct"/>
            <w:gridSpan w:val="2"/>
            <w:vMerge/>
          </w:tcPr>
          <w:p w:rsidR="00D10E6D" w:rsidRPr="00D10E6D" w:rsidRDefault="00D10E6D" w:rsidP="00D10E6D"/>
        </w:tc>
        <w:tc>
          <w:tcPr>
            <w:tcW w:w="688" w:type="pct"/>
          </w:tcPr>
          <w:p w:rsidR="00D10E6D" w:rsidRPr="00D10E6D" w:rsidRDefault="00D10E6D" w:rsidP="00D10E6D">
            <w:r w:rsidRPr="00D10E6D">
              <w:rPr>
                <w:b/>
                <w:bCs/>
              </w:rPr>
              <w:t>n+1 (2014.gads)</w:t>
            </w:r>
          </w:p>
        </w:tc>
        <w:tc>
          <w:tcPr>
            <w:tcW w:w="688" w:type="pct"/>
          </w:tcPr>
          <w:p w:rsidR="00D10E6D" w:rsidRPr="00D10E6D" w:rsidRDefault="00D10E6D" w:rsidP="00D10E6D">
            <w:pPr>
              <w:rPr>
                <w:b/>
                <w:bCs/>
              </w:rPr>
            </w:pPr>
            <w:r w:rsidRPr="00D10E6D">
              <w:rPr>
                <w:b/>
                <w:bCs/>
              </w:rPr>
              <w:t xml:space="preserve">n+2 </w:t>
            </w:r>
          </w:p>
          <w:p w:rsidR="00D10E6D" w:rsidRPr="00D10E6D" w:rsidRDefault="00D10E6D" w:rsidP="00D10E6D">
            <w:r w:rsidRPr="00D10E6D">
              <w:rPr>
                <w:b/>
                <w:bCs/>
              </w:rPr>
              <w:t>(2015.gads)</w:t>
            </w:r>
          </w:p>
        </w:tc>
        <w:tc>
          <w:tcPr>
            <w:tcW w:w="1082" w:type="pct"/>
          </w:tcPr>
          <w:p w:rsidR="00D10E6D" w:rsidRPr="00D10E6D" w:rsidRDefault="00D10E6D" w:rsidP="00D10E6D">
            <w:pPr>
              <w:rPr>
                <w:b/>
                <w:bCs/>
              </w:rPr>
            </w:pPr>
            <w:r w:rsidRPr="00D10E6D">
              <w:rPr>
                <w:b/>
                <w:bCs/>
              </w:rPr>
              <w:t>n+3</w:t>
            </w:r>
          </w:p>
          <w:p w:rsidR="00D10E6D" w:rsidRPr="00D10E6D" w:rsidRDefault="00D10E6D" w:rsidP="00D10E6D">
            <w:r w:rsidRPr="00D10E6D">
              <w:rPr>
                <w:b/>
                <w:bCs/>
              </w:rPr>
              <w:t>(2016.gads)</w:t>
            </w:r>
          </w:p>
        </w:tc>
      </w:tr>
      <w:tr w:rsidR="00D10E6D" w:rsidRPr="00D10E6D" w:rsidTr="00B555F6">
        <w:tc>
          <w:tcPr>
            <w:tcW w:w="1246" w:type="pct"/>
            <w:vMerge/>
          </w:tcPr>
          <w:p w:rsidR="00D10E6D" w:rsidRPr="00D10E6D" w:rsidRDefault="00D10E6D" w:rsidP="00D10E6D"/>
        </w:tc>
        <w:tc>
          <w:tcPr>
            <w:tcW w:w="602" w:type="pct"/>
          </w:tcPr>
          <w:p w:rsidR="00D10E6D" w:rsidRPr="00D10E6D" w:rsidRDefault="00D10E6D" w:rsidP="00D10E6D">
            <w:r w:rsidRPr="00D10E6D">
              <w:t> Saskaņā ar valsts budžetu kārtējam gadam</w:t>
            </w:r>
          </w:p>
        </w:tc>
        <w:tc>
          <w:tcPr>
            <w:tcW w:w="688" w:type="pct"/>
          </w:tcPr>
          <w:p w:rsidR="00D10E6D" w:rsidRPr="00D10E6D" w:rsidRDefault="00D10E6D" w:rsidP="00D10E6D">
            <w:r w:rsidRPr="00D10E6D">
              <w:t> Izmaiņas kārtējā gadā, salīdzinot ar budžetu kārtējam gadam</w:t>
            </w:r>
          </w:p>
        </w:tc>
        <w:tc>
          <w:tcPr>
            <w:tcW w:w="688" w:type="pct"/>
          </w:tcPr>
          <w:p w:rsidR="00D10E6D" w:rsidRPr="00D10E6D" w:rsidRDefault="00D10E6D" w:rsidP="00D10E6D">
            <w:r w:rsidRPr="00D10E6D">
              <w:t>Izmaiņas, salīdzinot ar kārtējo 2012.gadu</w:t>
            </w:r>
          </w:p>
        </w:tc>
        <w:tc>
          <w:tcPr>
            <w:tcW w:w="688" w:type="pct"/>
          </w:tcPr>
          <w:p w:rsidR="00D10E6D" w:rsidRPr="00D10E6D" w:rsidRDefault="00D10E6D" w:rsidP="00D10E6D">
            <w:r w:rsidRPr="00D10E6D">
              <w:t>Izmaiņas, salīdzinot ar kārtējo 2012. gadu</w:t>
            </w:r>
          </w:p>
        </w:tc>
        <w:tc>
          <w:tcPr>
            <w:tcW w:w="1082" w:type="pct"/>
          </w:tcPr>
          <w:p w:rsidR="00D10E6D" w:rsidRPr="00D10E6D" w:rsidRDefault="00D10E6D" w:rsidP="00D10E6D">
            <w:r w:rsidRPr="00D10E6D">
              <w:t> Izmaiņas, salīdzinot ar kārtējo 2012. gadu</w:t>
            </w:r>
          </w:p>
        </w:tc>
      </w:tr>
      <w:tr w:rsidR="00D10E6D" w:rsidRPr="00D10E6D" w:rsidTr="00B555F6">
        <w:tc>
          <w:tcPr>
            <w:tcW w:w="1246" w:type="pct"/>
          </w:tcPr>
          <w:p w:rsidR="00D10E6D" w:rsidRPr="00D10E6D" w:rsidRDefault="00D10E6D" w:rsidP="00D10E6D">
            <w:r w:rsidRPr="00D10E6D">
              <w:t>1</w:t>
            </w:r>
          </w:p>
        </w:tc>
        <w:tc>
          <w:tcPr>
            <w:tcW w:w="602" w:type="pct"/>
          </w:tcPr>
          <w:p w:rsidR="00D10E6D" w:rsidRPr="00D10E6D" w:rsidRDefault="00D10E6D" w:rsidP="00D10E6D">
            <w:r w:rsidRPr="00D10E6D">
              <w:t>2</w:t>
            </w:r>
          </w:p>
        </w:tc>
        <w:tc>
          <w:tcPr>
            <w:tcW w:w="688" w:type="pct"/>
          </w:tcPr>
          <w:p w:rsidR="00D10E6D" w:rsidRPr="00D10E6D" w:rsidRDefault="00D10E6D" w:rsidP="00D10E6D">
            <w:r w:rsidRPr="00D10E6D">
              <w:t>3</w:t>
            </w:r>
          </w:p>
        </w:tc>
        <w:tc>
          <w:tcPr>
            <w:tcW w:w="688" w:type="pct"/>
          </w:tcPr>
          <w:p w:rsidR="00D10E6D" w:rsidRPr="00D10E6D" w:rsidRDefault="00D10E6D" w:rsidP="00D10E6D">
            <w:r w:rsidRPr="00D10E6D">
              <w:t>4</w:t>
            </w:r>
          </w:p>
        </w:tc>
        <w:tc>
          <w:tcPr>
            <w:tcW w:w="688" w:type="pct"/>
          </w:tcPr>
          <w:p w:rsidR="00D10E6D" w:rsidRPr="00D10E6D" w:rsidRDefault="00D10E6D" w:rsidP="00D10E6D">
            <w:r w:rsidRPr="00D10E6D">
              <w:t>5</w:t>
            </w:r>
          </w:p>
        </w:tc>
        <w:tc>
          <w:tcPr>
            <w:tcW w:w="1082" w:type="pct"/>
          </w:tcPr>
          <w:p w:rsidR="00D10E6D" w:rsidRPr="00D10E6D" w:rsidRDefault="00D10E6D" w:rsidP="00D10E6D">
            <w:r w:rsidRPr="00D10E6D">
              <w:t>6</w:t>
            </w:r>
          </w:p>
        </w:tc>
      </w:tr>
      <w:tr w:rsidR="00D10E6D" w:rsidRPr="00D10E6D" w:rsidTr="00B555F6">
        <w:tc>
          <w:tcPr>
            <w:tcW w:w="4994" w:type="pct"/>
            <w:gridSpan w:val="6"/>
          </w:tcPr>
          <w:p w:rsidR="00D10E6D" w:rsidRPr="00D10E6D" w:rsidRDefault="00D10E6D" w:rsidP="00D10E6D">
            <w:r w:rsidRPr="00D10E6D">
              <w:t>Finanšu līdzekļu aprēķins norādīts anotācijas pielikumā</w:t>
            </w:r>
          </w:p>
        </w:tc>
      </w:tr>
      <w:tr w:rsidR="00D10E6D" w:rsidRPr="00D10E6D" w:rsidTr="00B555F6">
        <w:tc>
          <w:tcPr>
            <w:tcW w:w="1246" w:type="pct"/>
          </w:tcPr>
          <w:p w:rsidR="00D10E6D" w:rsidRPr="00D10E6D" w:rsidRDefault="00D10E6D" w:rsidP="00D10E6D">
            <w:r w:rsidRPr="00D10E6D">
              <w:t>1. Budžeta ieņēmumi:</w:t>
            </w:r>
          </w:p>
        </w:tc>
        <w:tc>
          <w:tcPr>
            <w:tcW w:w="602" w:type="pct"/>
          </w:tcPr>
          <w:p w:rsidR="00D10E6D" w:rsidRPr="00D10E6D" w:rsidRDefault="00D10E6D" w:rsidP="00D10E6D">
            <w:pPr>
              <w:rPr>
                <w:b/>
              </w:rPr>
            </w:pPr>
            <w:r w:rsidRPr="00D10E6D">
              <w:rPr>
                <w:b/>
              </w:rPr>
              <w:t>0,0</w:t>
            </w:r>
          </w:p>
        </w:tc>
        <w:tc>
          <w:tcPr>
            <w:tcW w:w="688" w:type="pct"/>
          </w:tcPr>
          <w:p w:rsidR="00D10E6D" w:rsidRPr="00D10E6D" w:rsidRDefault="00D10E6D" w:rsidP="00D10E6D">
            <w:pPr>
              <w:rPr>
                <w:b/>
              </w:rPr>
            </w:pPr>
            <w:r w:rsidRPr="00D10E6D">
              <w:rPr>
                <w:b/>
              </w:rPr>
              <w:t>0,0</w:t>
            </w:r>
          </w:p>
        </w:tc>
        <w:tc>
          <w:tcPr>
            <w:tcW w:w="688" w:type="pct"/>
          </w:tcPr>
          <w:p w:rsidR="00D10E6D" w:rsidRPr="00D10E6D" w:rsidRDefault="00D10E6D" w:rsidP="00D10E6D">
            <w:pPr>
              <w:rPr>
                <w:b/>
              </w:rPr>
            </w:pPr>
            <w:r w:rsidRPr="00D10E6D">
              <w:rPr>
                <w:b/>
              </w:rPr>
              <w:t>0,0</w:t>
            </w:r>
          </w:p>
        </w:tc>
        <w:tc>
          <w:tcPr>
            <w:tcW w:w="688" w:type="pct"/>
          </w:tcPr>
          <w:p w:rsidR="00D10E6D" w:rsidRPr="00D10E6D" w:rsidRDefault="00D10E6D" w:rsidP="00D10E6D">
            <w:pPr>
              <w:rPr>
                <w:b/>
              </w:rPr>
            </w:pPr>
            <w:r w:rsidRPr="00D10E6D">
              <w:rPr>
                <w:b/>
              </w:rPr>
              <w:t>0,0</w:t>
            </w:r>
          </w:p>
        </w:tc>
        <w:tc>
          <w:tcPr>
            <w:tcW w:w="1082" w:type="pct"/>
          </w:tcPr>
          <w:p w:rsidR="00D10E6D" w:rsidRPr="00D10E6D" w:rsidRDefault="00D10E6D" w:rsidP="00D10E6D">
            <w:pPr>
              <w:rPr>
                <w:b/>
              </w:rPr>
            </w:pPr>
            <w:r w:rsidRPr="00D10E6D">
              <w:rPr>
                <w:b/>
              </w:rPr>
              <w:t>0,0</w:t>
            </w:r>
          </w:p>
        </w:tc>
      </w:tr>
      <w:tr w:rsidR="00D10E6D" w:rsidRPr="00D10E6D" w:rsidTr="00B555F6">
        <w:tc>
          <w:tcPr>
            <w:tcW w:w="1246" w:type="pct"/>
          </w:tcPr>
          <w:p w:rsidR="00D10E6D" w:rsidRPr="00D10E6D" w:rsidRDefault="00D10E6D" w:rsidP="00D10E6D">
            <w:r w:rsidRPr="00D10E6D">
              <w:t>1.1. valsts pamatbudžets, tai skaitā ieņēmumi no maksas pakalpojumiem un citi pašu ieņēmumi</w:t>
            </w:r>
          </w:p>
        </w:tc>
        <w:tc>
          <w:tcPr>
            <w:tcW w:w="602" w:type="pct"/>
          </w:tcPr>
          <w:p w:rsidR="00D10E6D" w:rsidRPr="00D10E6D" w:rsidRDefault="00D10E6D" w:rsidP="00D10E6D">
            <w:r w:rsidRPr="00D10E6D">
              <w:t>0,0</w:t>
            </w:r>
          </w:p>
        </w:tc>
        <w:tc>
          <w:tcPr>
            <w:tcW w:w="688" w:type="pct"/>
          </w:tcPr>
          <w:p w:rsidR="00D10E6D" w:rsidRPr="00D10E6D" w:rsidRDefault="00D10E6D" w:rsidP="00D10E6D">
            <w:r w:rsidRPr="00D10E6D">
              <w:t>0,0</w:t>
            </w:r>
          </w:p>
        </w:tc>
        <w:tc>
          <w:tcPr>
            <w:tcW w:w="688" w:type="pct"/>
          </w:tcPr>
          <w:p w:rsidR="00D10E6D" w:rsidRPr="00D10E6D" w:rsidRDefault="00D10E6D" w:rsidP="00D10E6D">
            <w:r w:rsidRPr="00D10E6D">
              <w:t>0,0</w:t>
            </w:r>
          </w:p>
        </w:tc>
        <w:tc>
          <w:tcPr>
            <w:tcW w:w="688" w:type="pct"/>
          </w:tcPr>
          <w:p w:rsidR="00D10E6D" w:rsidRPr="00D10E6D" w:rsidRDefault="00D10E6D" w:rsidP="00D10E6D">
            <w:r w:rsidRPr="00D10E6D">
              <w:t>0,0</w:t>
            </w:r>
          </w:p>
        </w:tc>
        <w:tc>
          <w:tcPr>
            <w:tcW w:w="1082" w:type="pct"/>
          </w:tcPr>
          <w:p w:rsidR="00D10E6D" w:rsidRPr="00D10E6D" w:rsidRDefault="00D10E6D" w:rsidP="00D10E6D">
            <w:r w:rsidRPr="00D10E6D">
              <w:t>0,0</w:t>
            </w:r>
          </w:p>
        </w:tc>
      </w:tr>
      <w:tr w:rsidR="00D10E6D" w:rsidRPr="00D10E6D" w:rsidTr="00B555F6">
        <w:tc>
          <w:tcPr>
            <w:tcW w:w="1246" w:type="pct"/>
          </w:tcPr>
          <w:p w:rsidR="00D10E6D" w:rsidRPr="00D10E6D" w:rsidRDefault="00D10E6D" w:rsidP="00D10E6D">
            <w:r w:rsidRPr="00D10E6D">
              <w:t>1.2. valsts speciālais budžets</w:t>
            </w:r>
          </w:p>
        </w:tc>
        <w:tc>
          <w:tcPr>
            <w:tcW w:w="602"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1082" w:type="pct"/>
          </w:tcPr>
          <w:p w:rsidR="00D10E6D" w:rsidRPr="00D10E6D" w:rsidRDefault="00D10E6D" w:rsidP="00D10E6D"/>
        </w:tc>
      </w:tr>
      <w:tr w:rsidR="00D10E6D" w:rsidRPr="00D10E6D" w:rsidTr="00B555F6">
        <w:tc>
          <w:tcPr>
            <w:tcW w:w="1246" w:type="pct"/>
          </w:tcPr>
          <w:p w:rsidR="00D10E6D" w:rsidRPr="00D10E6D" w:rsidRDefault="00D10E6D" w:rsidP="00D10E6D">
            <w:r w:rsidRPr="00D10E6D">
              <w:t>1.3. pašvaldību budžets</w:t>
            </w:r>
          </w:p>
        </w:tc>
        <w:tc>
          <w:tcPr>
            <w:tcW w:w="602"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1082" w:type="pct"/>
          </w:tcPr>
          <w:p w:rsidR="00D10E6D" w:rsidRPr="00D10E6D" w:rsidRDefault="00D10E6D" w:rsidP="00D10E6D"/>
        </w:tc>
      </w:tr>
      <w:tr w:rsidR="00D10E6D" w:rsidRPr="00D10E6D" w:rsidTr="00B555F6">
        <w:tc>
          <w:tcPr>
            <w:tcW w:w="1246" w:type="pct"/>
          </w:tcPr>
          <w:p w:rsidR="00D10E6D" w:rsidRPr="00D10E6D" w:rsidRDefault="00D10E6D" w:rsidP="00D10E6D">
            <w:r w:rsidRPr="00D10E6D">
              <w:t>2. Budžeta izdevumi:</w:t>
            </w:r>
          </w:p>
        </w:tc>
        <w:tc>
          <w:tcPr>
            <w:tcW w:w="602" w:type="pct"/>
          </w:tcPr>
          <w:p w:rsidR="00D10E6D" w:rsidRPr="00D10E6D" w:rsidRDefault="00D10E6D" w:rsidP="00D10E6D">
            <w:pPr>
              <w:rPr>
                <w:b/>
              </w:rPr>
            </w:pPr>
          </w:p>
        </w:tc>
        <w:tc>
          <w:tcPr>
            <w:tcW w:w="688" w:type="pct"/>
          </w:tcPr>
          <w:p w:rsidR="00D10E6D" w:rsidRPr="00D10E6D" w:rsidRDefault="00D10E6D" w:rsidP="00D10E6D">
            <w:pPr>
              <w:rPr>
                <w:b/>
              </w:rPr>
            </w:pPr>
            <w:r w:rsidRPr="00D10E6D">
              <w:rPr>
                <w:b/>
              </w:rPr>
              <w:t>409,0</w:t>
            </w:r>
          </w:p>
        </w:tc>
        <w:tc>
          <w:tcPr>
            <w:tcW w:w="688" w:type="pct"/>
          </w:tcPr>
          <w:p w:rsidR="00D10E6D" w:rsidRPr="00D10E6D" w:rsidRDefault="00D10E6D" w:rsidP="00D10E6D">
            <w:pPr>
              <w:rPr>
                <w:b/>
              </w:rPr>
            </w:pPr>
            <w:r w:rsidRPr="00D10E6D">
              <w:rPr>
                <w:b/>
              </w:rPr>
              <w:t>0,0</w:t>
            </w:r>
          </w:p>
        </w:tc>
        <w:tc>
          <w:tcPr>
            <w:tcW w:w="688" w:type="pct"/>
          </w:tcPr>
          <w:p w:rsidR="00D10E6D" w:rsidRPr="00D10E6D" w:rsidRDefault="00D10E6D" w:rsidP="00D10E6D">
            <w:pPr>
              <w:rPr>
                <w:b/>
              </w:rPr>
            </w:pPr>
            <w:r w:rsidRPr="00D10E6D">
              <w:rPr>
                <w:b/>
              </w:rPr>
              <w:t>0,0</w:t>
            </w:r>
          </w:p>
        </w:tc>
        <w:tc>
          <w:tcPr>
            <w:tcW w:w="1082" w:type="pct"/>
          </w:tcPr>
          <w:p w:rsidR="00D10E6D" w:rsidRPr="00D10E6D" w:rsidRDefault="00D10E6D" w:rsidP="00D10E6D">
            <w:pPr>
              <w:rPr>
                <w:b/>
              </w:rPr>
            </w:pPr>
            <w:r w:rsidRPr="00D10E6D">
              <w:rPr>
                <w:b/>
              </w:rPr>
              <w:t>0,0</w:t>
            </w:r>
          </w:p>
        </w:tc>
      </w:tr>
      <w:tr w:rsidR="00D10E6D" w:rsidRPr="00D10E6D" w:rsidTr="00B555F6">
        <w:tc>
          <w:tcPr>
            <w:tcW w:w="1246" w:type="pct"/>
          </w:tcPr>
          <w:p w:rsidR="00D10E6D" w:rsidRPr="00D10E6D" w:rsidRDefault="00D10E6D" w:rsidP="00D10E6D">
            <w:r w:rsidRPr="00D10E6D">
              <w:t>2.1. valsts pamatbudžets</w:t>
            </w:r>
          </w:p>
        </w:tc>
        <w:tc>
          <w:tcPr>
            <w:tcW w:w="602" w:type="pct"/>
          </w:tcPr>
          <w:p w:rsidR="00D10E6D" w:rsidRPr="00D10E6D" w:rsidRDefault="00D10E6D" w:rsidP="00D10E6D"/>
        </w:tc>
        <w:tc>
          <w:tcPr>
            <w:tcW w:w="688" w:type="pct"/>
          </w:tcPr>
          <w:p w:rsidR="00D10E6D" w:rsidRPr="00D10E6D" w:rsidRDefault="00D10E6D" w:rsidP="00D10E6D">
            <w:r w:rsidRPr="00D10E6D">
              <w:t>409,0</w:t>
            </w:r>
          </w:p>
        </w:tc>
        <w:tc>
          <w:tcPr>
            <w:tcW w:w="688" w:type="pct"/>
          </w:tcPr>
          <w:p w:rsidR="00D10E6D" w:rsidRPr="00D10E6D" w:rsidRDefault="00D10E6D" w:rsidP="00D10E6D">
            <w:r w:rsidRPr="00D10E6D">
              <w:t>0,0</w:t>
            </w:r>
          </w:p>
        </w:tc>
        <w:tc>
          <w:tcPr>
            <w:tcW w:w="688" w:type="pct"/>
          </w:tcPr>
          <w:p w:rsidR="00D10E6D" w:rsidRPr="00D10E6D" w:rsidRDefault="00D10E6D" w:rsidP="00D10E6D">
            <w:r w:rsidRPr="00D10E6D">
              <w:t>0,0</w:t>
            </w:r>
          </w:p>
        </w:tc>
        <w:tc>
          <w:tcPr>
            <w:tcW w:w="1082" w:type="pct"/>
          </w:tcPr>
          <w:p w:rsidR="00D10E6D" w:rsidRPr="00D10E6D" w:rsidRDefault="00D10E6D" w:rsidP="00D10E6D">
            <w:r w:rsidRPr="00D10E6D">
              <w:t>0,0</w:t>
            </w:r>
          </w:p>
        </w:tc>
      </w:tr>
      <w:tr w:rsidR="00D10E6D" w:rsidRPr="00D10E6D" w:rsidTr="00B555F6">
        <w:tc>
          <w:tcPr>
            <w:tcW w:w="1246" w:type="pct"/>
          </w:tcPr>
          <w:p w:rsidR="00D10E6D" w:rsidRPr="00D10E6D" w:rsidRDefault="00D10E6D" w:rsidP="00D10E6D">
            <w:r w:rsidRPr="00D10E6D">
              <w:t>2.2. valsts speciālais budžets</w:t>
            </w:r>
          </w:p>
        </w:tc>
        <w:tc>
          <w:tcPr>
            <w:tcW w:w="602"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1082" w:type="pct"/>
          </w:tcPr>
          <w:p w:rsidR="00D10E6D" w:rsidRPr="00D10E6D" w:rsidRDefault="00D10E6D" w:rsidP="00D10E6D"/>
        </w:tc>
      </w:tr>
      <w:tr w:rsidR="00D10E6D" w:rsidRPr="00D10E6D" w:rsidTr="00B555F6">
        <w:tc>
          <w:tcPr>
            <w:tcW w:w="1246" w:type="pct"/>
          </w:tcPr>
          <w:p w:rsidR="00D10E6D" w:rsidRPr="00D10E6D" w:rsidRDefault="00D10E6D" w:rsidP="00D10E6D">
            <w:r w:rsidRPr="00D10E6D">
              <w:t>2.3. pašvaldību budžets</w:t>
            </w:r>
          </w:p>
        </w:tc>
        <w:tc>
          <w:tcPr>
            <w:tcW w:w="602"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1082" w:type="pct"/>
          </w:tcPr>
          <w:p w:rsidR="00D10E6D" w:rsidRPr="00D10E6D" w:rsidRDefault="00D10E6D" w:rsidP="00D10E6D"/>
        </w:tc>
      </w:tr>
      <w:tr w:rsidR="00D10E6D" w:rsidRPr="00D10E6D" w:rsidTr="00B555F6">
        <w:tc>
          <w:tcPr>
            <w:tcW w:w="1246" w:type="pct"/>
          </w:tcPr>
          <w:p w:rsidR="00D10E6D" w:rsidRPr="00D10E6D" w:rsidRDefault="00D10E6D" w:rsidP="00D10E6D">
            <w:r w:rsidRPr="00D10E6D">
              <w:t>3. Finansiālā ietekme:</w:t>
            </w:r>
          </w:p>
        </w:tc>
        <w:tc>
          <w:tcPr>
            <w:tcW w:w="602" w:type="pct"/>
          </w:tcPr>
          <w:p w:rsidR="00D10E6D" w:rsidRPr="00D10E6D" w:rsidRDefault="00D10E6D" w:rsidP="00D10E6D">
            <w:pPr>
              <w:rPr>
                <w:b/>
              </w:rPr>
            </w:pPr>
          </w:p>
        </w:tc>
        <w:tc>
          <w:tcPr>
            <w:tcW w:w="688" w:type="pct"/>
          </w:tcPr>
          <w:p w:rsidR="00D10E6D" w:rsidRPr="00D10E6D" w:rsidRDefault="00D10E6D" w:rsidP="00D10E6D">
            <w:pPr>
              <w:rPr>
                <w:b/>
              </w:rPr>
            </w:pPr>
            <w:r w:rsidRPr="00D10E6D">
              <w:rPr>
                <w:b/>
              </w:rPr>
              <w:t>–409,0</w:t>
            </w:r>
          </w:p>
        </w:tc>
        <w:tc>
          <w:tcPr>
            <w:tcW w:w="688" w:type="pct"/>
          </w:tcPr>
          <w:p w:rsidR="00D10E6D" w:rsidRPr="00D10E6D" w:rsidRDefault="00D10E6D" w:rsidP="00D10E6D">
            <w:pPr>
              <w:rPr>
                <w:b/>
              </w:rPr>
            </w:pPr>
            <w:r w:rsidRPr="00D10E6D">
              <w:rPr>
                <w:b/>
              </w:rPr>
              <w:t>0,0</w:t>
            </w:r>
          </w:p>
        </w:tc>
        <w:tc>
          <w:tcPr>
            <w:tcW w:w="688" w:type="pct"/>
          </w:tcPr>
          <w:p w:rsidR="00D10E6D" w:rsidRPr="00D10E6D" w:rsidRDefault="00D10E6D" w:rsidP="00D10E6D">
            <w:pPr>
              <w:rPr>
                <w:b/>
              </w:rPr>
            </w:pPr>
            <w:r w:rsidRPr="00D10E6D">
              <w:rPr>
                <w:b/>
              </w:rPr>
              <w:t>0,0</w:t>
            </w:r>
          </w:p>
        </w:tc>
        <w:tc>
          <w:tcPr>
            <w:tcW w:w="1082" w:type="pct"/>
          </w:tcPr>
          <w:p w:rsidR="00D10E6D" w:rsidRPr="00D10E6D" w:rsidRDefault="00D10E6D" w:rsidP="00D10E6D">
            <w:pPr>
              <w:rPr>
                <w:b/>
              </w:rPr>
            </w:pPr>
            <w:r w:rsidRPr="00D10E6D">
              <w:rPr>
                <w:b/>
              </w:rPr>
              <w:t>0,0</w:t>
            </w:r>
          </w:p>
        </w:tc>
      </w:tr>
      <w:tr w:rsidR="00D10E6D" w:rsidRPr="00D10E6D" w:rsidTr="00B555F6">
        <w:tc>
          <w:tcPr>
            <w:tcW w:w="1246" w:type="pct"/>
          </w:tcPr>
          <w:p w:rsidR="00D10E6D" w:rsidRPr="00D10E6D" w:rsidRDefault="00D10E6D" w:rsidP="00D10E6D">
            <w:r w:rsidRPr="00D10E6D">
              <w:t>3.1. valsts pamatbudžets</w:t>
            </w:r>
          </w:p>
        </w:tc>
        <w:tc>
          <w:tcPr>
            <w:tcW w:w="602" w:type="pct"/>
          </w:tcPr>
          <w:p w:rsidR="00D10E6D" w:rsidRPr="00D10E6D" w:rsidRDefault="00D10E6D" w:rsidP="00D10E6D"/>
        </w:tc>
        <w:tc>
          <w:tcPr>
            <w:tcW w:w="688" w:type="pct"/>
          </w:tcPr>
          <w:p w:rsidR="00D10E6D" w:rsidRPr="00D10E6D" w:rsidRDefault="00D10E6D" w:rsidP="00D10E6D">
            <w:r w:rsidRPr="00D10E6D">
              <w:t>–409,0</w:t>
            </w:r>
          </w:p>
        </w:tc>
        <w:tc>
          <w:tcPr>
            <w:tcW w:w="688" w:type="pct"/>
          </w:tcPr>
          <w:p w:rsidR="00D10E6D" w:rsidRPr="00D10E6D" w:rsidRDefault="00D10E6D" w:rsidP="00D10E6D">
            <w:r w:rsidRPr="00D10E6D">
              <w:t>0,0</w:t>
            </w:r>
          </w:p>
        </w:tc>
        <w:tc>
          <w:tcPr>
            <w:tcW w:w="688" w:type="pct"/>
          </w:tcPr>
          <w:p w:rsidR="00D10E6D" w:rsidRPr="00D10E6D" w:rsidRDefault="00D10E6D" w:rsidP="00D10E6D">
            <w:r w:rsidRPr="00D10E6D">
              <w:t>0,0</w:t>
            </w:r>
          </w:p>
        </w:tc>
        <w:tc>
          <w:tcPr>
            <w:tcW w:w="1082" w:type="pct"/>
          </w:tcPr>
          <w:p w:rsidR="00D10E6D" w:rsidRPr="00D10E6D" w:rsidRDefault="00D10E6D" w:rsidP="00D10E6D">
            <w:r w:rsidRPr="00D10E6D">
              <w:t>0,0</w:t>
            </w:r>
          </w:p>
        </w:tc>
      </w:tr>
      <w:tr w:rsidR="00D10E6D" w:rsidRPr="00D10E6D" w:rsidTr="00B555F6">
        <w:tc>
          <w:tcPr>
            <w:tcW w:w="1246" w:type="pct"/>
          </w:tcPr>
          <w:p w:rsidR="00D10E6D" w:rsidRPr="00D10E6D" w:rsidRDefault="00D10E6D" w:rsidP="00D10E6D">
            <w:r w:rsidRPr="00D10E6D">
              <w:t>3.2. speciālais budžets</w:t>
            </w:r>
          </w:p>
        </w:tc>
        <w:tc>
          <w:tcPr>
            <w:tcW w:w="602"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1082" w:type="pct"/>
          </w:tcPr>
          <w:p w:rsidR="00D10E6D" w:rsidRPr="00D10E6D" w:rsidRDefault="00D10E6D" w:rsidP="00D10E6D"/>
        </w:tc>
      </w:tr>
      <w:tr w:rsidR="00D10E6D" w:rsidRPr="00D10E6D" w:rsidTr="00B555F6">
        <w:tc>
          <w:tcPr>
            <w:tcW w:w="1246" w:type="pct"/>
          </w:tcPr>
          <w:p w:rsidR="00D10E6D" w:rsidRPr="00D10E6D" w:rsidRDefault="00D10E6D" w:rsidP="00D10E6D">
            <w:r w:rsidRPr="00D10E6D">
              <w:t>3.3. pašvaldību budžets</w:t>
            </w:r>
          </w:p>
        </w:tc>
        <w:tc>
          <w:tcPr>
            <w:tcW w:w="602"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1082" w:type="pct"/>
          </w:tcPr>
          <w:p w:rsidR="00D10E6D" w:rsidRPr="00D10E6D" w:rsidRDefault="00D10E6D" w:rsidP="00D10E6D"/>
        </w:tc>
      </w:tr>
      <w:tr w:rsidR="00D10E6D" w:rsidRPr="00D10E6D" w:rsidTr="00B555F6">
        <w:tc>
          <w:tcPr>
            <w:tcW w:w="1246" w:type="pct"/>
            <w:vMerge w:val="restart"/>
          </w:tcPr>
          <w:p w:rsidR="00D10E6D" w:rsidRPr="00D10E6D" w:rsidRDefault="00D10E6D" w:rsidP="00D10E6D">
            <w:r w:rsidRPr="00D10E6D">
              <w:t>4. Finanšu līdzekļi papildu izde</w:t>
            </w:r>
            <w:r w:rsidRPr="00D10E6D">
              <w:softHyphen/>
              <w:t>vumu finansēšanai (kompensējošu izdevumu samazinājumu norāda ar "+" zīmi)</w:t>
            </w:r>
          </w:p>
        </w:tc>
        <w:tc>
          <w:tcPr>
            <w:tcW w:w="602" w:type="pct"/>
            <w:vMerge w:val="restart"/>
          </w:tcPr>
          <w:p w:rsidR="00D10E6D" w:rsidRPr="00D10E6D" w:rsidRDefault="00D10E6D" w:rsidP="00D10E6D"/>
        </w:tc>
        <w:tc>
          <w:tcPr>
            <w:tcW w:w="688" w:type="pct"/>
          </w:tcPr>
          <w:p w:rsidR="00D10E6D" w:rsidRPr="00D10E6D" w:rsidRDefault="00D10E6D" w:rsidP="00D10E6D">
            <w:r w:rsidRPr="00D10E6D">
              <w:t>0,0</w:t>
            </w:r>
          </w:p>
        </w:tc>
        <w:tc>
          <w:tcPr>
            <w:tcW w:w="688" w:type="pct"/>
          </w:tcPr>
          <w:p w:rsidR="00D10E6D" w:rsidRPr="00D10E6D" w:rsidRDefault="00D10E6D" w:rsidP="00D10E6D">
            <w:r w:rsidRPr="00D10E6D">
              <w:t>0,0</w:t>
            </w:r>
          </w:p>
        </w:tc>
        <w:tc>
          <w:tcPr>
            <w:tcW w:w="688" w:type="pct"/>
          </w:tcPr>
          <w:p w:rsidR="00D10E6D" w:rsidRPr="00D10E6D" w:rsidRDefault="00D10E6D" w:rsidP="00D10E6D">
            <w:r w:rsidRPr="00D10E6D">
              <w:t>0,0</w:t>
            </w:r>
          </w:p>
        </w:tc>
        <w:tc>
          <w:tcPr>
            <w:tcW w:w="1082" w:type="pct"/>
          </w:tcPr>
          <w:p w:rsidR="00D10E6D" w:rsidRPr="00D10E6D" w:rsidRDefault="00D10E6D" w:rsidP="00D10E6D">
            <w:r w:rsidRPr="00D10E6D">
              <w:t>0,0</w:t>
            </w:r>
          </w:p>
        </w:tc>
      </w:tr>
      <w:tr w:rsidR="00D10E6D" w:rsidRPr="00D10E6D" w:rsidTr="00B555F6">
        <w:tc>
          <w:tcPr>
            <w:tcW w:w="1246" w:type="pct"/>
            <w:vMerge/>
          </w:tcPr>
          <w:p w:rsidR="00D10E6D" w:rsidRPr="00D10E6D" w:rsidRDefault="00D10E6D" w:rsidP="00D10E6D"/>
        </w:tc>
        <w:tc>
          <w:tcPr>
            <w:tcW w:w="602" w:type="pct"/>
            <w:vMerge/>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1082" w:type="pct"/>
          </w:tcPr>
          <w:p w:rsidR="00D10E6D" w:rsidRPr="00D10E6D" w:rsidRDefault="00D10E6D" w:rsidP="00D10E6D"/>
        </w:tc>
      </w:tr>
      <w:tr w:rsidR="00D10E6D" w:rsidRPr="00D10E6D" w:rsidTr="00B555F6">
        <w:tc>
          <w:tcPr>
            <w:tcW w:w="1246" w:type="pct"/>
            <w:vMerge/>
          </w:tcPr>
          <w:p w:rsidR="00D10E6D" w:rsidRPr="00D10E6D" w:rsidRDefault="00D10E6D" w:rsidP="00D10E6D"/>
        </w:tc>
        <w:tc>
          <w:tcPr>
            <w:tcW w:w="602" w:type="pct"/>
            <w:vMerge/>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1082" w:type="pct"/>
          </w:tcPr>
          <w:p w:rsidR="00D10E6D" w:rsidRPr="00D10E6D" w:rsidRDefault="00D10E6D" w:rsidP="00D10E6D"/>
        </w:tc>
      </w:tr>
      <w:tr w:rsidR="00D10E6D" w:rsidRPr="00D10E6D" w:rsidTr="00B555F6">
        <w:tc>
          <w:tcPr>
            <w:tcW w:w="1246" w:type="pct"/>
          </w:tcPr>
          <w:p w:rsidR="00D10E6D" w:rsidRPr="00D10E6D" w:rsidRDefault="00D10E6D" w:rsidP="00D10E6D">
            <w:r w:rsidRPr="00D10E6D">
              <w:t>5. Precizēta finansiālā ietekme:</w:t>
            </w:r>
          </w:p>
        </w:tc>
        <w:tc>
          <w:tcPr>
            <w:tcW w:w="602" w:type="pct"/>
            <w:vMerge w:val="restart"/>
          </w:tcPr>
          <w:p w:rsidR="00D10E6D" w:rsidRPr="00D10E6D" w:rsidRDefault="00D10E6D" w:rsidP="00D10E6D"/>
        </w:tc>
        <w:tc>
          <w:tcPr>
            <w:tcW w:w="688" w:type="pct"/>
          </w:tcPr>
          <w:p w:rsidR="00D10E6D" w:rsidRPr="00D10E6D" w:rsidRDefault="00D10E6D" w:rsidP="00D10E6D">
            <w:r w:rsidRPr="00D10E6D">
              <w:t>–409,0</w:t>
            </w:r>
          </w:p>
        </w:tc>
        <w:tc>
          <w:tcPr>
            <w:tcW w:w="688" w:type="pct"/>
          </w:tcPr>
          <w:p w:rsidR="00D10E6D" w:rsidRPr="00D10E6D" w:rsidRDefault="00D10E6D" w:rsidP="00D10E6D">
            <w:r w:rsidRPr="00D10E6D">
              <w:t>0,0</w:t>
            </w:r>
          </w:p>
        </w:tc>
        <w:tc>
          <w:tcPr>
            <w:tcW w:w="688" w:type="pct"/>
          </w:tcPr>
          <w:p w:rsidR="00D10E6D" w:rsidRPr="00D10E6D" w:rsidRDefault="00D10E6D" w:rsidP="00D10E6D">
            <w:r w:rsidRPr="00D10E6D">
              <w:t>0,0</w:t>
            </w:r>
          </w:p>
        </w:tc>
        <w:tc>
          <w:tcPr>
            <w:tcW w:w="1082" w:type="pct"/>
          </w:tcPr>
          <w:p w:rsidR="00D10E6D" w:rsidRPr="00D10E6D" w:rsidRDefault="00D10E6D" w:rsidP="00D10E6D">
            <w:r w:rsidRPr="00D10E6D">
              <w:t>0,0</w:t>
            </w:r>
          </w:p>
        </w:tc>
      </w:tr>
      <w:tr w:rsidR="00D10E6D" w:rsidRPr="00D10E6D" w:rsidTr="00B555F6">
        <w:tc>
          <w:tcPr>
            <w:tcW w:w="1246" w:type="pct"/>
          </w:tcPr>
          <w:p w:rsidR="00D10E6D" w:rsidRPr="00D10E6D" w:rsidRDefault="00D10E6D" w:rsidP="00D10E6D">
            <w:r w:rsidRPr="00D10E6D">
              <w:t>5.1. valsts pamatbudžets</w:t>
            </w:r>
          </w:p>
        </w:tc>
        <w:tc>
          <w:tcPr>
            <w:tcW w:w="602" w:type="pct"/>
            <w:vMerge/>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1082" w:type="pct"/>
          </w:tcPr>
          <w:p w:rsidR="00D10E6D" w:rsidRPr="00D10E6D" w:rsidRDefault="00D10E6D" w:rsidP="00D10E6D"/>
        </w:tc>
      </w:tr>
      <w:tr w:rsidR="00D10E6D" w:rsidRPr="00D10E6D" w:rsidTr="00B555F6">
        <w:tc>
          <w:tcPr>
            <w:tcW w:w="1246" w:type="pct"/>
          </w:tcPr>
          <w:p w:rsidR="00D10E6D" w:rsidRPr="00D10E6D" w:rsidRDefault="00D10E6D" w:rsidP="00D10E6D">
            <w:r w:rsidRPr="00D10E6D">
              <w:t>5.2. speciālais budžets</w:t>
            </w:r>
          </w:p>
        </w:tc>
        <w:tc>
          <w:tcPr>
            <w:tcW w:w="602" w:type="pct"/>
            <w:vMerge/>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1082" w:type="pct"/>
          </w:tcPr>
          <w:p w:rsidR="00D10E6D" w:rsidRPr="00D10E6D" w:rsidRDefault="00D10E6D" w:rsidP="00D10E6D"/>
        </w:tc>
      </w:tr>
      <w:tr w:rsidR="00D10E6D" w:rsidRPr="00D10E6D" w:rsidTr="00B555F6">
        <w:tc>
          <w:tcPr>
            <w:tcW w:w="1246" w:type="pct"/>
          </w:tcPr>
          <w:p w:rsidR="00D10E6D" w:rsidRPr="00D10E6D" w:rsidRDefault="00D10E6D" w:rsidP="00D10E6D">
            <w:r w:rsidRPr="00D10E6D">
              <w:t> 5.3. pašvaldību budžets</w:t>
            </w:r>
          </w:p>
        </w:tc>
        <w:tc>
          <w:tcPr>
            <w:tcW w:w="602" w:type="pct"/>
            <w:vMerge/>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1082" w:type="pct"/>
          </w:tcPr>
          <w:p w:rsidR="00D10E6D" w:rsidRPr="00D10E6D" w:rsidRDefault="00D10E6D" w:rsidP="00D10E6D"/>
        </w:tc>
      </w:tr>
      <w:tr w:rsidR="00D10E6D" w:rsidRPr="00D10E6D" w:rsidTr="00B555F6">
        <w:tc>
          <w:tcPr>
            <w:tcW w:w="1246" w:type="pct"/>
          </w:tcPr>
          <w:p w:rsidR="00D10E6D" w:rsidRPr="00D10E6D" w:rsidRDefault="00D10E6D" w:rsidP="00D10E6D">
            <w:r w:rsidRPr="00D10E6D">
              <w:t>6. Detalizēts ieņēmumu un izdevu</w:t>
            </w:r>
            <w:r w:rsidRPr="00D10E6D">
              <w:softHyphen/>
              <w:t xml:space="preserve">mu aprēķins (ja nepieciešams, detalizētu ieņēmumu un izdevumu aprēķinu var </w:t>
            </w:r>
            <w:r w:rsidRPr="00D10E6D">
              <w:lastRenderedPageBreak/>
              <w:t>pievienot anotācijas pielikumā):</w:t>
            </w:r>
          </w:p>
        </w:tc>
        <w:tc>
          <w:tcPr>
            <w:tcW w:w="602"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1082" w:type="pct"/>
          </w:tcPr>
          <w:p w:rsidR="00D10E6D" w:rsidRPr="00D10E6D" w:rsidRDefault="00D10E6D" w:rsidP="00D10E6D"/>
        </w:tc>
      </w:tr>
      <w:tr w:rsidR="00D10E6D" w:rsidRPr="00D10E6D" w:rsidTr="00B555F6">
        <w:tc>
          <w:tcPr>
            <w:tcW w:w="1246" w:type="pct"/>
          </w:tcPr>
          <w:p w:rsidR="00D10E6D" w:rsidRPr="00D10E6D" w:rsidRDefault="00D10E6D" w:rsidP="00D10E6D">
            <w:r w:rsidRPr="00D10E6D">
              <w:lastRenderedPageBreak/>
              <w:t>6.1. Detalizēts ieņēmumu aprēķins</w:t>
            </w:r>
          </w:p>
          <w:p w:rsidR="00D10E6D" w:rsidRPr="00D10E6D" w:rsidRDefault="00D10E6D" w:rsidP="00D10E6D">
            <w:r w:rsidRPr="00D10E6D">
              <w:t>Izdevumi tiek segti no dotācijas no vispārējiem ieņēmumiem</w:t>
            </w:r>
          </w:p>
        </w:tc>
        <w:tc>
          <w:tcPr>
            <w:tcW w:w="602"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688" w:type="pct"/>
          </w:tcPr>
          <w:p w:rsidR="00D10E6D" w:rsidRPr="00D10E6D" w:rsidRDefault="00D10E6D" w:rsidP="00D10E6D"/>
        </w:tc>
        <w:tc>
          <w:tcPr>
            <w:tcW w:w="1082" w:type="pct"/>
          </w:tcPr>
          <w:p w:rsidR="00D10E6D" w:rsidRPr="00D10E6D" w:rsidRDefault="00D10E6D" w:rsidP="00D10E6D"/>
        </w:tc>
      </w:tr>
      <w:tr w:rsidR="00D10E6D" w:rsidRPr="00D10E6D" w:rsidTr="00B555F6">
        <w:tc>
          <w:tcPr>
            <w:tcW w:w="1246" w:type="pct"/>
          </w:tcPr>
          <w:p w:rsidR="00D10E6D" w:rsidRPr="00D10E6D" w:rsidRDefault="00D10E6D" w:rsidP="00D10E6D">
            <w:r w:rsidRPr="00D10E6D">
              <w:t>6.2. detalizēts izdevumu aprēķins:</w:t>
            </w:r>
          </w:p>
          <w:p w:rsidR="00D10E6D" w:rsidRPr="00D10E6D" w:rsidRDefault="00D10E6D" w:rsidP="00D10E6D">
            <w:r w:rsidRPr="00D10E6D">
              <w:t>6.2.1.vakcīnas (400 000 devu * 0,7744 Ls/deva = Ls 309 760,00);</w:t>
            </w:r>
          </w:p>
          <w:p w:rsidR="00D10E6D" w:rsidRPr="00D10E6D" w:rsidRDefault="00D10E6D" w:rsidP="00D10E6D">
            <w:r w:rsidRPr="00D10E6D">
              <w:t xml:space="preserve">6.2.2.vakcīnu izvietošana (400 000 devu * 0,24805 Ls/1 </w:t>
            </w:r>
            <w:proofErr w:type="spellStart"/>
            <w:r w:rsidRPr="00D10E6D">
              <w:t>vakc</w:t>
            </w:r>
            <w:proofErr w:type="spellEnd"/>
            <w:r w:rsidRPr="00D10E6D">
              <w:t xml:space="preserve">. </w:t>
            </w:r>
            <w:proofErr w:type="spellStart"/>
            <w:r w:rsidRPr="00D10E6D">
              <w:t>izv</w:t>
            </w:r>
            <w:proofErr w:type="spellEnd"/>
            <w:r w:rsidRPr="00D10E6D">
              <w:t>. = Ls 99 220,00).</w:t>
            </w:r>
          </w:p>
          <w:p w:rsidR="00D10E6D" w:rsidRPr="00D10E6D" w:rsidRDefault="00D10E6D" w:rsidP="00D10E6D"/>
        </w:tc>
        <w:tc>
          <w:tcPr>
            <w:tcW w:w="602" w:type="pct"/>
          </w:tcPr>
          <w:p w:rsidR="00D10E6D" w:rsidRPr="00D10E6D" w:rsidRDefault="00D10E6D" w:rsidP="00D10E6D"/>
        </w:tc>
        <w:tc>
          <w:tcPr>
            <w:tcW w:w="688" w:type="pct"/>
          </w:tcPr>
          <w:p w:rsidR="00D10E6D" w:rsidRPr="00D10E6D" w:rsidRDefault="00D10E6D" w:rsidP="00D10E6D">
            <w:pPr>
              <w:rPr>
                <w:b/>
              </w:rPr>
            </w:pPr>
            <w:r w:rsidRPr="00D10E6D">
              <w:rPr>
                <w:b/>
              </w:rPr>
              <w:t>409,0</w:t>
            </w:r>
          </w:p>
          <w:p w:rsidR="00D10E6D" w:rsidRPr="00D10E6D" w:rsidRDefault="00D10E6D" w:rsidP="00D10E6D">
            <w:pPr>
              <w:rPr>
                <w:b/>
              </w:rPr>
            </w:pPr>
          </w:p>
          <w:p w:rsidR="00D10E6D" w:rsidRPr="00D10E6D" w:rsidRDefault="00D10E6D" w:rsidP="00D10E6D"/>
          <w:p w:rsidR="00D10E6D" w:rsidRPr="00D10E6D" w:rsidRDefault="00D10E6D" w:rsidP="00D10E6D"/>
          <w:p w:rsidR="00D10E6D" w:rsidRPr="00D10E6D" w:rsidRDefault="00D10E6D" w:rsidP="00D10E6D">
            <w:r w:rsidRPr="00D10E6D">
              <w:t>309,8</w:t>
            </w:r>
          </w:p>
          <w:p w:rsidR="00D10E6D" w:rsidRPr="00D10E6D" w:rsidRDefault="00D10E6D" w:rsidP="00D10E6D"/>
          <w:p w:rsidR="00D10E6D" w:rsidRPr="00D10E6D" w:rsidRDefault="00D10E6D" w:rsidP="00D10E6D"/>
          <w:p w:rsidR="00D10E6D" w:rsidRPr="00D10E6D" w:rsidRDefault="00D10E6D" w:rsidP="00D10E6D"/>
          <w:p w:rsidR="00D10E6D" w:rsidRPr="00D10E6D" w:rsidRDefault="00D10E6D" w:rsidP="00D10E6D">
            <w:r w:rsidRPr="00D10E6D">
              <w:t>99,2</w:t>
            </w:r>
          </w:p>
          <w:p w:rsidR="00D10E6D" w:rsidRPr="00D10E6D" w:rsidRDefault="00D10E6D" w:rsidP="00D10E6D"/>
          <w:p w:rsidR="00D10E6D" w:rsidRPr="00D10E6D" w:rsidRDefault="00D10E6D" w:rsidP="00D10E6D"/>
          <w:p w:rsidR="00D10E6D" w:rsidRPr="00D10E6D" w:rsidRDefault="00D10E6D" w:rsidP="00D10E6D"/>
        </w:tc>
        <w:tc>
          <w:tcPr>
            <w:tcW w:w="688" w:type="pct"/>
          </w:tcPr>
          <w:p w:rsidR="00D10E6D" w:rsidRPr="00D10E6D" w:rsidRDefault="00D10E6D" w:rsidP="00D10E6D">
            <w:pPr>
              <w:rPr>
                <w:b/>
              </w:rPr>
            </w:pPr>
            <w:r w:rsidRPr="00D10E6D">
              <w:rPr>
                <w:b/>
              </w:rPr>
              <w:t>0,0</w:t>
            </w:r>
          </w:p>
          <w:p w:rsidR="00D10E6D" w:rsidRPr="00D10E6D" w:rsidRDefault="00D10E6D" w:rsidP="00D10E6D">
            <w:pPr>
              <w:rPr>
                <w:b/>
              </w:rPr>
            </w:pPr>
          </w:p>
          <w:p w:rsidR="00D10E6D" w:rsidRPr="00D10E6D" w:rsidRDefault="00D10E6D" w:rsidP="00D10E6D">
            <w:pPr>
              <w:rPr>
                <w:b/>
              </w:rPr>
            </w:pPr>
          </w:p>
          <w:p w:rsidR="00D10E6D" w:rsidRPr="00D10E6D" w:rsidRDefault="00D10E6D" w:rsidP="00D10E6D">
            <w:pPr>
              <w:rPr>
                <w:b/>
              </w:rPr>
            </w:pPr>
          </w:p>
          <w:p w:rsidR="00D10E6D" w:rsidRPr="00D10E6D" w:rsidRDefault="00D10E6D" w:rsidP="00D10E6D">
            <w:r w:rsidRPr="00D10E6D">
              <w:t>0,0</w:t>
            </w:r>
          </w:p>
          <w:p w:rsidR="00D10E6D" w:rsidRPr="00D10E6D" w:rsidRDefault="00D10E6D" w:rsidP="00D10E6D"/>
          <w:p w:rsidR="00D10E6D" w:rsidRPr="00D10E6D" w:rsidRDefault="00D10E6D" w:rsidP="00D10E6D"/>
          <w:p w:rsidR="00D10E6D" w:rsidRPr="00D10E6D" w:rsidRDefault="00D10E6D" w:rsidP="00D10E6D"/>
          <w:p w:rsidR="00D10E6D" w:rsidRPr="00D10E6D" w:rsidRDefault="00D10E6D" w:rsidP="00D10E6D">
            <w:r w:rsidRPr="00D10E6D">
              <w:t>0,0</w:t>
            </w:r>
          </w:p>
          <w:p w:rsidR="00D10E6D" w:rsidRPr="00D10E6D" w:rsidRDefault="00D10E6D" w:rsidP="00D10E6D"/>
          <w:p w:rsidR="00D10E6D" w:rsidRPr="00D10E6D" w:rsidRDefault="00D10E6D" w:rsidP="00D10E6D"/>
          <w:p w:rsidR="00D10E6D" w:rsidRPr="00D10E6D" w:rsidRDefault="00D10E6D" w:rsidP="00D10E6D"/>
        </w:tc>
        <w:tc>
          <w:tcPr>
            <w:tcW w:w="688" w:type="pct"/>
          </w:tcPr>
          <w:p w:rsidR="00D10E6D" w:rsidRPr="00D10E6D" w:rsidRDefault="00D10E6D" w:rsidP="00D10E6D">
            <w:pPr>
              <w:rPr>
                <w:b/>
              </w:rPr>
            </w:pPr>
            <w:r w:rsidRPr="00D10E6D">
              <w:rPr>
                <w:b/>
              </w:rPr>
              <w:t>0,0</w:t>
            </w:r>
          </w:p>
          <w:p w:rsidR="00D10E6D" w:rsidRPr="00D10E6D" w:rsidRDefault="00D10E6D" w:rsidP="00D10E6D">
            <w:pPr>
              <w:rPr>
                <w:b/>
              </w:rPr>
            </w:pPr>
          </w:p>
          <w:p w:rsidR="00D10E6D" w:rsidRPr="00D10E6D" w:rsidRDefault="00D10E6D" w:rsidP="00D10E6D">
            <w:pPr>
              <w:rPr>
                <w:b/>
              </w:rPr>
            </w:pPr>
          </w:p>
          <w:p w:rsidR="00D10E6D" w:rsidRPr="00D10E6D" w:rsidRDefault="00D10E6D" w:rsidP="00D10E6D">
            <w:pPr>
              <w:rPr>
                <w:b/>
              </w:rPr>
            </w:pPr>
          </w:p>
          <w:p w:rsidR="00D10E6D" w:rsidRPr="00D10E6D" w:rsidRDefault="00D10E6D" w:rsidP="00D10E6D">
            <w:r w:rsidRPr="00D10E6D">
              <w:t>0,0</w:t>
            </w:r>
          </w:p>
          <w:p w:rsidR="00D10E6D" w:rsidRPr="00D10E6D" w:rsidRDefault="00D10E6D" w:rsidP="00D10E6D"/>
          <w:p w:rsidR="00D10E6D" w:rsidRPr="00D10E6D" w:rsidRDefault="00D10E6D" w:rsidP="00D10E6D"/>
          <w:p w:rsidR="00D10E6D" w:rsidRPr="00D10E6D" w:rsidRDefault="00D10E6D" w:rsidP="00D10E6D"/>
          <w:p w:rsidR="00D10E6D" w:rsidRPr="00D10E6D" w:rsidRDefault="00D10E6D" w:rsidP="00D10E6D">
            <w:r w:rsidRPr="00D10E6D">
              <w:t>0,0</w:t>
            </w:r>
          </w:p>
          <w:p w:rsidR="00D10E6D" w:rsidRPr="00D10E6D" w:rsidRDefault="00D10E6D" w:rsidP="00D10E6D"/>
          <w:p w:rsidR="00D10E6D" w:rsidRPr="00D10E6D" w:rsidRDefault="00D10E6D" w:rsidP="00D10E6D"/>
        </w:tc>
        <w:tc>
          <w:tcPr>
            <w:tcW w:w="1082" w:type="pct"/>
          </w:tcPr>
          <w:p w:rsidR="00D10E6D" w:rsidRPr="00D10E6D" w:rsidRDefault="00D10E6D" w:rsidP="00D10E6D">
            <w:pPr>
              <w:rPr>
                <w:b/>
              </w:rPr>
            </w:pPr>
            <w:r w:rsidRPr="00D10E6D">
              <w:rPr>
                <w:b/>
              </w:rPr>
              <w:t>0,0</w:t>
            </w:r>
          </w:p>
          <w:p w:rsidR="00D10E6D" w:rsidRPr="00D10E6D" w:rsidRDefault="00D10E6D" w:rsidP="00D10E6D">
            <w:pPr>
              <w:rPr>
                <w:b/>
              </w:rPr>
            </w:pPr>
          </w:p>
          <w:p w:rsidR="00D10E6D" w:rsidRPr="00D10E6D" w:rsidRDefault="00D10E6D" w:rsidP="00D10E6D">
            <w:pPr>
              <w:rPr>
                <w:b/>
              </w:rPr>
            </w:pPr>
          </w:p>
          <w:p w:rsidR="00D10E6D" w:rsidRPr="00D10E6D" w:rsidRDefault="00D10E6D" w:rsidP="00D10E6D">
            <w:pPr>
              <w:rPr>
                <w:b/>
              </w:rPr>
            </w:pPr>
          </w:p>
          <w:p w:rsidR="00D10E6D" w:rsidRPr="00D10E6D" w:rsidRDefault="00D10E6D" w:rsidP="00D10E6D">
            <w:r w:rsidRPr="00D10E6D">
              <w:t>0,0</w:t>
            </w:r>
          </w:p>
          <w:p w:rsidR="00D10E6D" w:rsidRPr="00D10E6D" w:rsidRDefault="00D10E6D" w:rsidP="00D10E6D"/>
          <w:p w:rsidR="00D10E6D" w:rsidRPr="00D10E6D" w:rsidRDefault="00D10E6D" w:rsidP="00D10E6D"/>
          <w:p w:rsidR="00D10E6D" w:rsidRPr="00D10E6D" w:rsidRDefault="00D10E6D" w:rsidP="00D10E6D"/>
          <w:p w:rsidR="00D10E6D" w:rsidRPr="00D10E6D" w:rsidRDefault="00D10E6D" w:rsidP="00D10E6D">
            <w:r w:rsidRPr="00D10E6D">
              <w:t>0,0</w:t>
            </w:r>
          </w:p>
          <w:p w:rsidR="00D10E6D" w:rsidRPr="00D10E6D" w:rsidRDefault="00D10E6D" w:rsidP="00D10E6D"/>
          <w:p w:rsidR="00D10E6D" w:rsidRPr="00D10E6D" w:rsidRDefault="00D10E6D" w:rsidP="00D10E6D"/>
        </w:tc>
      </w:tr>
      <w:tr w:rsidR="00D10E6D" w:rsidRPr="00D10E6D" w:rsidTr="00B555F6">
        <w:tc>
          <w:tcPr>
            <w:tcW w:w="1246" w:type="pct"/>
          </w:tcPr>
          <w:p w:rsidR="00D10E6D" w:rsidRPr="00D10E6D" w:rsidRDefault="00D10E6D" w:rsidP="00D10E6D">
            <w:r w:rsidRPr="00D10E6D">
              <w:t>7. Cita informācija</w:t>
            </w:r>
          </w:p>
        </w:tc>
        <w:tc>
          <w:tcPr>
            <w:tcW w:w="3748" w:type="pct"/>
            <w:gridSpan w:val="5"/>
          </w:tcPr>
          <w:p w:rsidR="00D10E6D" w:rsidRPr="00D10E6D" w:rsidRDefault="00D10E6D" w:rsidP="00D10E6D">
            <w:r w:rsidRPr="00D10E6D">
              <w:t>Kopējais nepieciešamais finansējums ir Ls 408 980 (EKK 2000 „Preces un pakalpojumi”)</w:t>
            </w:r>
          </w:p>
        </w:tc>
      </w:tr>
    </w:tbl>
    <w:p w:rsidR="007E27B2" w:rsidRDefault="007E27B2" w:rsidP="004B28A8">
      <w:pPr>
        <w:rPr>
          <w:i/>
        </w:rPr>
      </w:pPr>
    </w:p>
    <w:p w:rsidR="00512793" w:rsidRPr="004C0C3E" w:rsidRDefault="00512793" w:rsidP="004B28A8">
      <w:pPr>
        <w:rPr>
          <w:i/>
        </w:rPr>
      </w:pPr>
      <w:r>
        <w:rPr>
          <w:i/>
        </w:rPr>
        <w:t xml:space="preserve">Anotācijas IV, V un VI sadaļa – projekts šīs jomas neskar. </w:t>
      </w:r>
    </w:p>
    <w:tbl>
      <w:tblPr>
        <w:tblW w:w="56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1"/>
        <w:gridCol w:w="4230"/>
      </w:tblGrid>
      <w:tr w:rsidR="00512793" w:rsidRPr="00596B72" w:rsidTr="00B92329">
        <w:tc>
          <w:tcPr>
            <w:tcW w:w="5000" w:type="pct"/>
            <w:gridSpan w:val="2"/>
          </w:tcPr>
          <w:p w:rsidR="00512793" w:rsidRPr="00596B72" w:rsidRDefault="00512793" w:rsidP="0071371E">
            <w:pPr>
              <w:pStyle w:val="naisc"/>
              <w:spacing w:before="0" w:beforeAutospacing="0" w:after="0" w:afterAutospacing="0"/>
              <w:jc w:val="center"/>
              <w:rPr>
                <w:b/>
                <w:bCs/>
              </w:rPr>
            </w:pPr>
            <w:r w:rsidRPr="00596B72">
              <w:rPr>
                <w:b/>
                <w:bCs/>
              </w:rPr>
              <w:t>VII. Tiesību akta projekta izpildes nodrošināšana un tās ietekme uz institūcijām</w:t>
            </w:r>
          </w:p>
        </w:tc>
      </w:tr>
      <w:tr w:rsidR="00512793" w:rsidRPr="00596B72" w:rsidTr="00B92329">
        <w:tc>
          <w:tcPr>
            <w:tcW w:w="2984" w:type="pct"/>
          </w:tcPr>
          <w:p w:rsidR="00512793" w:rsidRPr="00596B72" w:rsidRDefault="00512793" w:rsidP="00B14609">
            <w:pPr>
              <w:pStyle w:val="ParastaisWeb"/>
              <w:spacing w:before="0" w:beforeAutospacing="0" w:after="0" w:afterAutospacing="0"/>
              <w:jc w:val="both"/>
              <w:rPr>
                <w:lang w:val="lv-LV"/>
              </w:rPr>
            </w:pPr>
            <w:r w:rsidRPr="00596B72">
              <w:rPr>
                <w:lang w:val="lv-LV"/>
              </w:rPr>
              <w:t>1. Projekta izpildē iesaistītās institūcijas</w:t>
            </w:r>
          </w:p>
        </w:tc>
        <w:tc>
          <w:tcPr>
            <w:tcW w:w="2016" w:type="pct"/>
          </w:tcPr>
          <w:p w:rsidR="00512793" w:rsidRPr="00596B72" w:rsidRDefault="00512793" w:rsidP="00074129">
            <w:pPr>
              <w:pStyle w:val="Kjene"/>
              <w:tabs>
                <w:tab w:val="clear" w:pos="4153"/>
                <w:tab w:val="clear" w:pos="8306"/>
              </w:tabs>
              <w:ind w:right="-108"/>
              <w:jc w:val="both"/>
            </w:pPr>
            <w:r w:rsidRPr="00596B72">
              <w:t>Pā</w:t>
            </w:r>
            <w:r>
              <w:t xml:space="preserve">rtikas un veterinārais dienests </w:t>
            </w:r>
          </w:p>
        </w:tc>
      </w:tr>
      <w:tr w:rsidR="00512793" w:rsidRPr="00596B72" w:rsidTr="00B92329">
        <w:tc>
          <w:tcPr>
            <w:tcW w:w="2984" w:type="pct"/>
          </w:tcPr>
          <w:p w:rsidR="00512793" w:rsidRPr="00596B72" w:rsidRDefault="00512793" w:rsidP="00B14609">
            <w:pPr>
              <w:pStyle w:val="ParastaisWeb"/>
              <w:spacing w:before="0" w:beforeAutospacing="0" w:after="0" w:afterAutospacing="0"/>
              <w:jc w:val="both"/>
              <w:rPr>
                <w:lang w:val="lv-LV"/>
              </w:rPr>
            </w:pPr>
            <w:r w:rsidRPr="00596B72">
              <w:rPr>
                <w:lang w:val="lv-LV"/>
              </w:rPr>
              <w:t>2. Projekta izpildes ietekme uz pārvaldes funkcijām</w:t>
            </w:r>
          </w:p>
        </w:tc>
        <w:tc>
          <w:tcPr>
            <w:tcW w:w="2016" w:type="pct"/>
          </w:tcPr>
          <w:p w:rsidR="00512793" w:rsidRPr="00596B72" w:rsidRDefault="00512793" w:rsidP="00074129">
            <w:pPr>
              <w:pStyle w:val="Kjene"/>
              <w:tabs>
                <w:tab w:val="clear" w:pos="4153"/>
                <w:tab w:val="clear" w:pos="8306"/>
              </w:tabs>
              <w:ind w:right="33"/>
              <w:jc w:val="both"/>
            </w:pPr>
            <w:r w:rsidRPr="00596B72">
              <w:t xml:space="preserve">Noteikumu </w:t>
            </w:r>
            <w:r>
              <w:t xml:space="preserve">projekta </w:t>
            </w:r>
            <w:r w:rsidRPr="00596B72">
              <w:t>prasību izpildei nav nepieciešams paplašināt Pārtikas un veterinārā dienesta</w:t>
            </w:r>
            <w:r>
              <w:t xml:space="preserve"> funkcijas</w:t>
            </w:r>
            <w:r w:rsidRPr="00596B72">
              <w:t>.</w:t>
            </w:r>
          </w:p>
        </w:tc>
      </w:tr>
      <w:tr w:rsidR="00512793" w:rsidRPr="00596B72" w:rsidTr="00B92329">
        <w:tc>
          <w:tcPr>
            <w:tcW w:w="2984" w:type="pct"/>
          </w:tcPr>
          <w:p w:rsidR="00512793" w:rsidRPr="00596B72" w:rsidRDefault="00512793" w:rsidP="00B14609">
            <w:pPr>
              <w:pStyle w:val="ParastaisWeb"/>
              <w:spacing w:before="0" w:beforeAutospacing="0" w:after="0" w:afterAutospacing="0"/>
              <w:jc w:val="both"/>
              <w:rPr>
                <w:lang w:val="lv-LV"/>
              </w:rPr>
            </w:pPr>
            <w:r w:rsidRPr="00596B72">
              <w:rPr>
                <w:lang w:val="lv-LV"/>
              </w:rPr>
              <w:t>3. Projekta izpildes ietekme uz pārvaldes institucionālo struktūru</w:t>
            </w:r>
          </w:p>
          <w:p w:rsidR="00512793" w:rsidRPr="00596B72" w:rsidRDefault="00512793" w:rsidP="00B14609">
            <w:pPr>
              <w:pStyle w:val="ParastaisWeb"/>
              <w:spacing w:before="0" w:beforeAutospacing="0" w:after="0" w:afterAutospacing="0"/>
              <w:jc w:val="both"/>
              <w:rPr>
                <w:lang w:val="lv-LV"/>
              </w:rPr>
            </w:pPr>
            <w:r w:rsidRPr="00596B72">
              <w:rPr>
                <w:lang w:val="lv-LV"/>
              </w:rPr>
              <w:t>Jaunu institūciju izveide</w:t>
            </w:r>
          </w:p>
        </w:tc>
        <w:tc>
          <w:tcPr>
            <w:tcW w:w="2016" w:type="pct"/>
          </w:tcPr>
          <w:p w:rsidR="00512793" w:rsidRPr="00596B72" w:rsidRDefault="00512793" w:rsidP="00B14609">
            <w:pPr>
              <w:pStyle w:val="Kjene"/>
              <w:tabs>
                <w:tab w:val="clear" w:pos="4153"/>
                <w:tab w:val="clear" w:pos="8306"/>
              </w:tabs>
              <w:ind w:right="-108"/>
              <w:jc w:val="both"/>
            </w:pPr>
            <w:r>
              <w:t>Projekts šo jomu neskar</w:t>
            </w:r>
            <w:r w:rsidRPr="00596B72">
              <w:t>.</w:t>
            </w:r>
          </w:p>
        </w:tc>
      </w:tr>
      <w:tr w:rsidR="00512793" w:rsidRPr="00596B72" w:rsidTr="00B92329">
        <w:tc>
          <w:tcPr>
            <w:tcW w:w="2984" w:type="pct"/>
          </w:tcPr>
          <w:p w:rsidR="00512793" w:rsidRPr="00596B72" w:rsidRDefault="00512793" w:rsidP="00B14609">
            <w:pPr>
              <w:pStyle w:val="ParastaisWeb"/>
              <w:spacing w:before="0" w:beforeAutospacing="0" w:after="0" w:afterAutospacing="0"/>
              <w:jc w:val="both"/>
              <w:rPr>
                <w:lang w:val="lv-LV"/>
              </w:rPr>
            </w:pPr>
            <w:r w:rsidRPr="00596B72">
              <w:rPr>
                <w:lang w:val="lv-LV"/>
              </w:rPr>
              <w:t>4. Projekta izpildes ietekme uz pārvaldes institucionālo struktūru</w:t>
            </w:r>
          </w:p>
          <w:p w:rsidR="00512793" w:rsidRPr="00596B72" w:rsidRDefault="00512793" w:rsidP="00B14609">
            <w:pPr>
              <w:pStyle w:val="ParastaisWeb"/>
              <w:spacing w:before="0" w:beforeAutospacing="0" w:after="0" w:afterAutospacing="0"/>
              <w:jc w:val="both"/>
              <w:rPr>
                <w:lang w:val="lv-LV"/>
              </w:rPr>
            </w:pPr>
            <w:r w:rsidRPr="00596B72">
              <w:rPr>
                <w:lang w:val="lv-LV"/>
              </w:rPr>
              <w:t>Esošu institūciju likvidācija</w:t>
            </w:r>
          </w:p>
        </w:tc>
        <w:tc>
          <w:tcPr>
            <w:tcW w:w="2016" w:type="pct"/>
          </w:tcPr>
          <w:p w:rsidR="00512793" w:rsidRPr="00596B72" w:rsidRDefault="00512793" w:rsidP="00B14609">
            <w:pPr>
              <w:pStyle w:val="Kjene"/>
              <w:tabs>
                <w:tab w:val="clear" w:pos="4153"/>
                <w:tab w:val="clear" w:pos="8306"/>
              </w:tabs>
              <w:jc w:val="both"/>
              <w:rPr>
                <w:rFonts w:eastAsia="Arial Unicode MS"/>
              </w:rPr>
            </w:pPr>
            <w:r>
              <w:t>Projekts šo jomu neskar</w:t>
            </w:r>
            <w:r w:rsidRPr="00596B72">
              <w:t>.</w:t>
            </w:r>
          </w:p>
        </w:tc>
      </w:tr>
      <w:tr w:rsidR="00512793" w:rsidRPr="00596B72" w:rsidTr="00B92329">
        <w:trPr>
          <w:trHeight w:val="554"/>
        </w:trPr>
        <w:tc>
          <w:tcPr>
            <w:tcW w:w="2984" w:type="pct"/>
          </w:tcPr>
          <w:p w:rsidR="00512793" w:rsidRPr="00596B72" w:rsidRDefault="00512793" w:rsidP="00B14609">
            <w:pPr>
              <w:pStyle w:val="ParastaisWeb"/>
              <w:spacing w:before="0" w:beforeAutospacing="0" w:after="0" w:afterAutospacing="0"/>
              <w:jc w:val="both"/>
              <w:rPr>
                <w:lang w:val="lv-LV"/>
              </w:rPr>
            </w:pPr>
            <w:r w:rsidRPr="00596B72">
              <w:rPr>
                <w:lang w:val="lv-LV"/>
              </w:rPr>
              <w:t>5. Projekta izpildes ietekme uz pārvaldes institucionālo struktūru</w:t>
            </w:r>
          </w:p>
          <w:p w:rsidR="00512793" w:rsidRPr="00596B72" w:rsidRDefault="00512793" w:rsidP="00B14609">
            <w:pPr>
              <w:pStyle w:val="ParastaisWeb"/>
              <w:spacing w:before="0" w:beforeAutospacing="0" w:after="0" w:afterAutospacing="0"/>
              <w:jc w:val="both"/>
              <w:rPr>
                <w:lang w:val="lv-LV"/>
              </w:rPr>
            </w:pPr>
            <w:r w:rsidRPr="00596B72">
              <w:rPr>
                <w:lang w:val="lv-LV"/>
              </w:rPr>
              <w:t>Esošu institūciju reorganizācija</w:t>
            </w:r>
          </w:p>
        </w:tc>
        <w:tc>
          <w:tcPr>
            <w:tcW w:w="2016" w:type="pct"/>
          </w:tcPr>
          <w:p w:rsidR="00512793" w:rsidRPr="00596B72" w:rsidRDefault="00512793" w:rsidP="00B14609">
            <w:pPr>
              <w:jc w:val="both"/>
              <w:rPr>
                <w:rFonts w:eastAsia="Arial Unicode MS"/>
              </w:rPr>
            </w:pPr>
            <w:r>
              <w:t>Projekts šo jomu neskar</w:t>
            </w:r>
            <w:r w:rsidRPr="00596B72">
              <w:t>.</w:t>
            </w:r>
          </w:p>
        </w:tc>
      </w:tr>
      <w:tr w:rsidR="00512793" w:rsidRPr="00596B72" w:rsidTr="00B92329">
        <w:trPr>
          <w:trHeight w:val="70"/>
        </w:trPr>
        <w:tc>
          <w:tcPr>
            <w:tcW w:w="2984" w:type="pct"/>
          </w:tcPr>
          <w:p w:rsidR="00512793" w:rsidRPr="00596B72" w:rsidRDefault="00512793" w:rsidP="00B14609">
            <w:pPr>
              <w:pStyle w:val="ParastaisWeb"/>
              <w:spacing w:before="0" w:beforeAutospacing="0" w:after="0" w:afterAutospacing="0"/>
              <w:jc w:val="both"/>
              <w:rPr>
                <w:lang w:val="lv-LV"/>
              </w:rPr>
            </w:pPr>
            <w:r w:rsidRPr="00596B72">
              <w:rPr>
                <w:lang w:val="lv-LV"/>
              </w:rPr>
              <w:t>6. Cita informācija</w:t>
            </w:r>
          </w:p>
        </w:tc>
        <w:tc>
          <w:tcPr>
            <w:tcW w:w="2016" w:type="pct"/>
          </w:tcPr>
          <w:p w:rsidR="00512793" w:rsidRPr="00596B72" w:rsidRDefault="00512793" w:rsidP="00B14609">
            <w:pPr>
              <w:rPr>
                <w:rFonts w:eastAsia="Arial Unicode MS"/>
              </w:rPr>
            </w:pPr>
            <w:r w:rsidRPr="00596B72">
              <w:t>Nav</w:t>
            </w:r>
          </w:p>
        </w:tc>
      </w:tr>
    </w:tbl>
    <w:p w:rsidR="00512793" w:rsidRDefault="00512793" w:rsidP="002E7FA0">
      <w:pPr>
        <w:pStyle w:val="naisf"/>
        <w:spacing w:before="0" w:beforeAutospacing="0" w:after="0" w:afterAutospacing="0"/>
        <w:rPr>
          <w:sz w:val="28"/>
          <w:szCs w:val="28"/>
        </w:rPr>
      </w:pPr>
    </w:p>
    <w:p w:rsidR="00803EBA" w:rsidRDefault="00803EBA" w:rsidP="00803EBA">
      <w:pPr>
        <w:ind w:firstLine="720"/>
        <w:jc w:val="both"/>
        <w:rPr>
          <w:sz w:val="28"/>
          <w:szCs w:val="28"/>
        </w:rPr>
      </w:pPr>
    </w:p>
    <w:p w:rsidR="00803EBA" w:rsidRDefault="00803EBA" w:rsidP="00803EBA">
      <w:pPr>
        <w:ind w:firstLine="720"/>
        <w:jc w:val="both"/>
        <w:rPr>
          <w:sz w:val="28"/>
          <w:szCs w:val="28"/>
        </w:rPr>
      </w:pPr>
      <w:r>
        <w:rPr>
          <w:sz w:val="28"/>
          <w:szCs w:val="28"/>
        </w:rPr>
        <w:t xml:space="preserve">Zemkopības ministra </w:t>
      </w:r>
      <w:proofErr w:type="spellStart"/>
      <w:r>
        <w:rPr>
          <w:sz w:val="28"/>
          <w:szCs w:val="28"/>
        </w:rPr>
        <w:t>p.i</w:t>
      </w:r>
      <w:proofErr w:type="spellEnd"/>
      <w:r>
        <w:rPr>
          <w:sz w:val="28"/>
          <w:szCs w:val="28"/>
        </w:rPr>
        <w:t>. -</w:t>
      </w:r>
      <w:r w:rsidRPr="00196840">
        <w:rPr>
          <w:sz w:val="28"/>
          <w:szCs w:val="28"/>
        </w:rPr>
        <w:tab/>
      </w:r>
      <w:r w:rsidRPr="00196840">
        <w:rPr>
          <w:sz w:val="28"/>
          <w:szCs w:val="28"/>
        </w:rPr>
        <w:tab/>
      </w:r>
      <w:r w:rsidRPr="00196840">
        <w:rPr>
          <w:sz w:val="28"/>
          <w:szCs w:val="28"/>
        </w:rPr>
        <w:tab/>
      </w:r>
      <w:r w:rsidRPr="00196840">
        <w:rPr>
          <w:sz w:val="28"/>
          <w:szCs w:val="28"/>
        </w:rPr>
        <w:tab/>
      </w:r>
      <w:r w:rsidRPr="00196840">
        <w:rPr>
          <w:sz w:val="28"/>
          <w:szCs w:val="28"/>
        </w:rPr>
        <w:tab/>
      </w:r>
    </w:p>
    <w:p w:rsidR="00803EBA" w:rsidRDefault="00803EBA" w:rsidP="00803EBA">
      <w:pPr>
        <w:ind w:firstLine="720"/>
        <w:jc w:val="both"/>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I.Circene</w:t>
      </w:r>
      <w:proofErr w:type="spellEnd"/>
    </w:p>
    <w:p w:rsidR="00512793" w:rsidRDefault="00512793" w:rsidP="00031804">
      <w:pPr>
        <w:ind w:firstLine="720"/>
        <w:rPr>
          <w:sz w:val="20"/>
          <w:szCs w:val="20"/>
        </w:rPr>
      </w:pPr>
    </w:p>
    <w:p w:rsidR="00512793" w:rsidRDefault="00512793" w:rsidP="0056482D">
      <w:pPr>
        <w:rPr>
          <w:sz w:val="20"/>
          <w:szCs w:val="20"/>
        </w:rPr>
      </w:pPr>
    </w:p>
    <w:p w:rsidR="007E27B2" w:rsidRDefault="007E27B2" w:rsidP="0056482D">
      <w:pPr>
        <w:rPr>
          <w:sz w:val="20"/>
          <w:szCs w:val="20"/>
        </w:rPr>
      </w:pPr>
      <w:bookmarkStart w:id="2" w:name="_GoBack"/>
      <w:bookmarkEnd w:id="2"/>
    </w:p>
    <w:p w:rsidR="007E27B2" w:rsidRDefault="007E27B2" w:rsidP="0056482D">
      <w:pPr>
        <w:rPr>
          <w:sz w:val="20"/>
          <w:szCs w:val="20"/>
        </w:rPr>
      </w:pPr>
    </w:p>
    <w:p w:rsidR="00803EBA" w:rsidRDefault="00803EBA" w:rsidP="0056482D">
      <w:pPr>
        <w:rPr>
          <w:sz w:val="20"/>
          <w:szCs w:val="20"/>
        </w:rPr>
      </w:pPr>
      <w:r>
        <w:rPr>
          <w:sz w:val="20"/>
          <w:szCs w:val="20"/>
        </w:rPr>
        <w:t>2013.01.28. 10:41</w:t>
      </w:r>
    </w:p>
    <w:p w:rsidR="00803EBA" w:rsidRPr="00803EBA" w:rsidRDefault="00803EBA" w:rsidP="0056482D">
      <w:pPr>
        <w:rPr>
          <w:sz w:val="20"/>
          <w:szCs w:val="20"/>
        </w:rPr>
      </w:pPr>
      <w:fldSimple w:instr=" NUMWORDS   \* MERGEFORMAT ">
        <w:r w:rsidRPr="00803EBA">
          <w:rPr>
            <w:noProof/>
            <w:sz w:val="20"/>
            <w:szCs w:val="20"/>
          </w:rPr>
          <w:t>1908</w:t>
        </w:r>
      </w:fldSimple>
    </w:p>
    <w:p w:rsidR="00512793" w:rsidRPr="003738C0" w:rsidRDefault="00512793" w:rsidP="0056482D">
      <w:pPr>
        <w:rPr>
          <w:sz w:val="20"/>
          <w:szCs w:val="20"/>
        </w:rPr>
      </w:pPr>
      <w:r w:rsidRPr="003738C0">
        <w:rPr>
          <w:sz w:val="20"/>
          <w:szCs w:val="20"/>
        </w:rPr>
        <w:t>O.Vecuma-Veco</w:t>
      </w:r>
    </w:p>
    <w:p w:rsidR="00512793" w:rsidRPr="003738C0" w:rsidRDefault="00512793" w:rsidP="0056482D">
      <w:pPr>
        <w:rPr>
          <w:sz w:val="20"/>
          <w:szCs w:val="20"/>
        </w:rPr>
      </w:pPr>
      <w:r w:rsidRPr="003738C0">
        <w:rPr>
          <w:sz w:val="20"/>
          <w:szCs w:val="20"/>
        </w:rPr>
        <w:t xml:space="preserve">67027551, </w:t>
      </w:r>
      <w:r w:rsidRPr="00031804">
        <w:rPr>
          <w:sz w:val="20"/>
          <w:szCs w:val="20"/>
        </w:rPr>
        <w:t>Olita.Vecuma-Veco@zm.gov.lv</w:t>
      </w:r>
    </w:p>
    <w:sectPr w:rsidR="00512793" w:rsidRPr="003738C0" w:rsidSect="00031804">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0E2" w:rsidRDefault="005130E2" w:rsidP="00F37F7E">
      <w:pPr>
        <w:pStyle w:val="naiskr"/>
      </w:pPr>
      <w:r>
        <w:separator/>
      </w:r>
    </w:p>
  </w:endnote>
  <w:endnote w:type="continuationSeparator" w:id="0">
    <w:p w:rsidR="005130E2" w:rsidRDefault="005130E2" w:rsidP="00F37F7E">
      <w:pPr>
        <w:pStyle w:val="naisk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793" w:rsidRPr="00735DB7" w:rsidRDefault="00512793" w:rsidP="00735DB7">
    <w:pPr>
      <w:jc w:val="both"/>
      <w:rPr>
        <w:sz w:val="20"/>
        <w:szCs w:val="20"/>
        <w:lang w:val="fi-FI"/>
      </w:rPr>
    </w:pPr>
    <w:r>
      <w:rPr>
        <w:sz w:val="20"/>
        <w:szCs w:val="20"/>
      </w:rPr>
      <w:t>Z</w:t>
    </w:r>
    <w:r w:rsidR="00E035CC">
      <w:rPr>
        <w:sz w:val="20"/>
        <w:szCs w:val="20"/>
      </w:rPr>
      <w:t>MAnot_24</w:t>
    </w:r>
    <w:r w:rsidR="007E27B2">
      <w:rPr>
        <w:sz w:val="20"/>
        <w:szCs w:val="20"/>
      </w:rPr>
      <w:t>0113_PVD iepirkums</w:t>
    </w:r>
    <w:r>
      <w:rPr>
        <w:sz w:val="20"/>
        <w:szCs w:val="20"/>
      </w:rPr>
      <w:t xml:space="preserve">; </w:t>
    </w:r>
    <w:r w:rsidRPr="00323527">
      <w:rPr>
        <w:sz w:val="20"/>
        <w:szCs w:val="20"/>
      </w:rPr>
      <w:t xml:space="preserve">Ministru kabineta rīkojuma projekta „Par </w:t>
    </w:r>
    <w:r w:rsidR="007E27B2">
      <w:rPr>
        <w:sz w:val="20"/>
        <w:szCs w:val="20"/>
      </w:rPr>
      <w:t>publisko iepirkumu klasiskā cūku mēra apkarošanas pasākumiem</w:t>
    </w:r>
    <w:r w:rsidRPr="00323527">
      <w:rPr>
        <w:sz w:val="20"/>
        <w:szCs w:val="20"/>
        <w:lang w:val="fi-FI"/>
      </w:rPr>
      <w:t xml:space="preserve">” sākotnējās ietekmes novērtējuma ziņojums (anotācija)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793" w:rsidRPr="007E27B2" w:rsidRDefault="007E27B2" w:rsidP="007E27B2">
    <w:pPr>
      <w:pStyle w:val="Kjene"/>
      <w:rPr>
        <w:sz w:val="20"/>
        <w:szCs w:val="20"/>
        <w:lang w:val="fi-FI"/>
      </w:rPr>
    </w:pPr>
    <w:r w:rsidRPr="007E27B2">
      <w:rPr>
        <w:sz w:val="20"/>
        <w:szCs w:val="20"/>
      </w:rPr>
      <w:t>Z</w:t>
    </w:r>
    <w:r w:rsidR="00E035CC">
      <w:rPr>
        <w:sz w:val="20"/>
        <w:szCs w:val="20"/>
      </w:rPr>
      <w:t>MAnot_24</w:t>
    </w:r>
    <w:r w:rsidRPr="007E27B2">
      <w:rPr>
        <w:sz w:val="20"/>
        <w:szCs w:val="20"/>
      </w:rPr>
      <w:t>0113_PVD iepirkums; Ministru kabineta rīkojuma projekta „Par publisko iepirkumu klasiskā cūku mēra apkarošanas pasākumiem</w:t>
    </w:r>
    <w:r w:rsidRPr="007E27B2">
      <w:rPr>
        <w:sz w:val="20"/>
        <w:szCs w:val="20"/>
        <w:lang w:val="fi-FI"/>
      </w:rPr>
      <w:t xml:space="preserve">” sākotnējās ietekmes novērtējuma ziņojums (anotācija)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0E2" w:rsidRDefault="005130E2" w:rsidP="00F37F7E">
      <w:pPr>
        <w:pStyle w:val="naiskr"/>
      </w:pPr>
      <w:r>
        <w:separator/>
      </w:r>
    </w:p>
  </w:footnote>
  <w:footnote w:type="continuationSeparator" w:id="0">
    <w:p w:rsidR="005130E2" w:rsidRDefault="005130E2" w:rsidP="00F37F7E">
      <w:pPr>
        <w:pStyle w:val="naisk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793" w:rsidRDefault="0008113D">
    <w:pPr>
      <w:pStyle w:val="Galvene"/>
      <w:framePr w:wrap="around" w:vAnchor="text" w:hAnchor="margin" w:xAlign="center" w:y="1"/>
      <w:rPr>
        <w:rStyle w:val="Lappusesnumurs"/>
      </w:rPr>
    </w:pPr>
    <w:r>
      <w:rPr>
        <w:rStyle w:val="Lappusesnumurs"/>
      </w:rPr>
      <w:fldChar w:fldCharType="begin"/>
    </w:r>
    <w:r w:rsidR="00512793">
      <w:rPr>
        <w:rStyle w:val="Lappusesnumurs"/>
      </w:rPr>
      <w:instrText xml:space="preserve">PAGE  </w:instrText>
    </w:r>
    <w:r>
      <w:rPr>
        <w:rStyle w:val="Lappusesnumurs"/>
      </w:rPr>
      <w:fldChar w:fldCharType="end"/>
    </w:r>
  </w:p>
  <w:p w:rsidR="00512793" w:rsidRDefault="0051279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793" w:rsidRDefault="0008113D">
    <w:pPr>
      <w:pStyle w:val="Galvene"/>
      <w:framePr w:wrap="around" w:vAnchor="text" w:hAnchor="margin" w:xAlign="center" w:y="1"/>
      <w:rPr>
        <w:rStyle w:val="Lappusesnumurs"/>
      </w:rPr>
    </w:pPr>
    <w:r>
      <w:rPr>
        <w:rStyle w:val="Lappusesnumurs"/>
      </w:rPr>
      <w:fldChar w:fldCharType="begin"/>
    </w:r>
    <w:r w:rsidR="00512793">
      <w:rPr>
        <w:rStyle w:val="Lappusesnumurs"/>
      </w:rPr>
      <w:instrText xml:space="preserve">PAGE  </w:instrText>
    </w:r>
    <w:r>
      <w:rPr>
        <w:rStyle w:val="Lappusesnumurs"/>
      </w:rPr>
      <w:fldChar w:fldCharType="separate"/>
    </w:r>
    <w:r w:rsidR="00803EBA">
      <w:rPr>
        <w:rStyle w:val="Lappusesnumurs"/>
        <w:noProof/>
      </w:rPr>
      <w:t>6</w:t>
    </w:r>
    <w:r>
      <w:rPr>
        <w:rStyle w:val="Lappusesnumurs"/>
      </w:rPr>
      <w:fldChar w:fldCharType="end"/>
    </w:r>
  </w:p>
  <w:p w:rsidR="00512793" w:rsidRDefault="0051279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5316B"/>
    <w:multiLevelType w:val="hybridMultilevel"/>
    <w:tmpl w:val="01CE8EB0"/>
    <w:lvl w:ilvl="0" w:tplc="0426000F">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7BA02C9"/>
    <w:multiLevelType w:val="hybridMultilevel"/>
    <w:tmpl w:val="74185FAC"/>
    <w:lvl w:ilvl="0" w:tplc="04260011">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197A1E38"/>
    <w:multiLevelType w:val="hybridMultilevel"/>
    <w:tmpl w:val="EF9A7B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CD840EE"/>
    <w:multiLevelType w:val="hybridMultilevel"/>
    <w:tmpl w:val="B0CC0EE6"/>
    <w:lvl w:ilvl="0" w:tplc="2024906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735367D"/>
    <w:multiLevelType w:val="hybridMultilevel"/>
    <w:tmpl w:val="580C512A"/>
    <w:lvl w:ilvl="0" w:tplc="04260011">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6E847F19"/>
    <w:multiLevelType w:val="hybridMultilevel"/>
    <w:tmpl w:val="69AEA48A"/>
    <w:lvl w:ilvl="0" w:tplc="3454CFB8">
      <w:start w:val="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7F7E"/>
    <w:rsid w:val="000048BF"/>
    <w:rsid w:val="0000611C"/>
    <w:rsid w:val="000242CD"/>
    <w:rsid w:val="000244B4"/>
    <w:rsid w:val="00031804"/>
    <w:rsid w:val="000410AD"/>
    <w:rsid w:val="000641B6"/>
    <w:rsid w:val="00074129"/>
    <w:rsid w:val="00074BF1"/>
    <w:rsid w:val="0008113D"/>
    <w:rsid w:val="0008472A"/>
    <w:rsid w:val="000A01B4"/>
    <w:rsid w:val="000A0D36"/>
    <w:rsid w:val="000B4B7F"/>
    <w:rsid w:val="000C0DAF"/>
    <w:rsid w:val="000C3BFF"/>
    <w:rsid w:val="000C4826"/>
    <w:rsid w:val="000D2DB1"/>
    <w:rsid w:val="000D7729"/>
    <w:rsid w:val="000E19A9"/>
    <w:rsid w:val="000E5FB3"/>
    <w:rsid w:val="000F4A1E"/>
    <w:rsid w:val="00126317"/>
    <w:rsid w:val="00131E9F"/>
    <w:rsid w:val="00132CD1"/>
    <w:rsid w:val="00153387"/>
    <w:rsid w:val="00161812"/>
    <w:rsid w:val="00182012"/>
    <w:rsid w:val="001841F1"/>
    <w:rsid w:val="00187BA9"/>
    <w:rsid w:val="00195807"/>
    <w:rsid w:val="001A21FA"/>
    <w:rsid w:val="001A284C"/>
    <w:rsid w:val="001A4234"/>
    <w:rsid w:val="001B1897"/>
    <w:rsid w:val="001B6383"/>
    <w:rsid w:val="001C3D95"/>
    <w:rsid w:val="001D0EB8"/>
    <w:rsid w:val="001E53CA"/>
    <w:rsid w:val="001E78D6"/>
    <w:rsid w:val="001F2C75"/>
    <w:rsid w:val="00202E15"/>
    <w:rsid w:val="00204ABF"/>
    <w:rsid w:val="00212257"/>
    <w:rsid w:val="00223DAC"/>
    <w:rsid w:val="00246A41"/>
    <w:rsid w:val="002550FC"/>
    <w:rsid w:val="00263598"/>
    <w:rsid w:val="00282B22"/>
    <w:rsid w:val="002A3F18"/>
    <w:rsid w:val="002A3F3B"/>
    <w:rsid w:val="002A7BC6"/>
    <w:rsid w:val="002C3121"/>
    <w:rsid w:val="002D2EF6"/>
    <w:rsid w:val="002D50B7"/>
    <w:rsid w:val="002E50C1"/>
    <w:rsid w:val="002E7FA0"/>
    <w:rsid w:val="0030480A"/>
    <w:rsid w:val="0031157F"/>
    <w:rsid w:val="00323527"/>
    <w:rsid w:val="00324F41"/>
    <w:rsid w:val="003309E0"/>
    <w:rsid w:val="003325EA"/>
    <w:rsid w:val="00337AE4"/>
    <w:rsid w:val="00355777"/>
    <w:rsid w:val="00363DB7"/>
    <w:rsid w:val="00363DF8"/>
    <w:rsid w:val="003723BE"/>
    <w:rsid w:val="003738C0"/>
    <w:rsid w:val="003818B3"/>
    <w:rsid w:val="00391D60"/>
    <w:rsid w:val="003B02BB"/>
    <w:rsid w:val="003B4D0C"/>
    <w:rsid w:val="003C6D92"/>
    <w:rsid w:val="003E1D53"/>
    <w:rsid w:val="003E672D"/>
    <w:rsid w:val="003E6C42"/>
    <w:rsid w:val="003F753E"/>
    <w:rsid w:val="00411FDE"/>
    <w:rsid w:val="00414614"/>
    <w:rsid w:val="00414DEA"/>
    <w:rsid w:val="00421391"/>
    <w:rsid w:val="0042726D"/>
    <w:rsid w:val="00452ABC"/>
    <w:rsid w:val="00452F4E"/>
    <w:rsid w:val="0047491E"/>
    <w:rsid w:val="004754E8"/>
    <w:rsid w:val="004966B8"/>
    <w:rsid w:val="004B28A8"/>
    <w:rsid w:val="004B7160"/>
    <w:rsid w:val="004C0C3E"/>
    <w:rsid w:val="004D64BE"/>
    <w:rsid w:val="004F718C"/>
    <w:rsid w:val="00501828"/>
    <w:rsid w:val="00511012"/>
    <w:rsid w:val="00512793"/>
    <w:rsid w:val="005130E2"/>
    <w:rsid w:val="00513790"/>
    <w:rsid w:val="005141D6"/>
    <w:rsid w:val="005251F3"/>
    <w:rsid w:val="005338D8"/>
    <w:rsid w:val="00533F4C"/>
    <w:rsid w:val="0055146B"/>
    <w:rsid w:val="00560C94"/>
    <w:rsid w:val="0056482D"/>
    <w:rsid w:val="005660EB"/>
    <w:rsid w:val="0057022E"/>
    <w:rsid w:val="0057338F"/>
    <w:rsid w:val="00583C70"/>
    <w:rsid w:val="00596B72"/>
    <w:rsid w:val="005A577A"/>
    <w:rsid w:val="005A6D73"/>
    <w:rsid w:val="005A7680"/>
    <w:rsid w:val="005C4A42"/>
    <w:rsid w:val="005C7614"/>
    <w:rsid w:val="005E0EAA"/>
    <w:rsid w:val="005F102A"/>
    <w:rsid w:val="006056ED"/>
    <w:rsid w:val="00614A47"/>
    <w:rsid w:val="00614C4E"/>
    <w:rsid w:val="00616BAD"/>
    <w:rsid w:val="00637FEF"/>
    <w:rsid w:val="0064237E"/>
    <w:rsid w:val="00643532"/>
    <w:rsid w:val="006600EC"/>
    <w:rsid w:val="006602BB"/>
    <w:rsid w:val="00670114"/>
    <w:rsid w:val="00680AE5"/>
    <w:rsid w:val="00683765"/>
    <w:rsid w:val="0069696D"/>
    <w:rsid w:val="006A3231"/>
    <w:rsid w:val="006A5A1C"/>
    <w:rsid w:val="006A6F92"/>
    <w:rsid w:val="006C1FB8"/>
    <w:rsid w:val="006D1354"/>
    <w:rsid w:val="006D7B14"/>
    <w:rsid w:val="006E00AF"/>
    <w:rsid w:val="006E5195"/>
    <w:rsid w:val="006E7289"/>
    <w:rsid w:val="00702355"/>
    <w:rsid w:val="0071167F"/>
    <w:rsid w:val="0071371E"/>
    <w:rsid w:val="007152AE"/>
    <w:rsid w:val="00716A1E"/>
    <w:rsid w:val="00723FF7"/>
    <w:rsid w:val="00731F1D"/>
    <w:rsid w:val="00735DB7"/>
    <w:rsid w:val="00741A5B"/>
    <w:rsid w:val="00750BCC"/>
    <w:rsid w:val="00772CF3"/>
    <w:rsid w:val="0078349C"/>
    <w:rsid w:val="00785431"/>
    <w:rsid w:val="00787D30"/>
    <w:rsid w:val="00795A91"/>
    <w:rsid w:val="00796944"/>
    <w:rsid w:val="007A614C"/>
    <w:rsid w:val="007B1A80"/>
    <w:rsid w:val="007C175C"/>
    <w:rsid w:val="007D3656"/>
    <w:rsid w:val="007E27B2"/>
    <w:rsid w:val="007F7CB3"/>
    <w:rsid w:val="00802643"/>
    <w:rsid w:val="00803EBA"/>
    <w:rsid w:val="00805106"/>
    <w:rsid w:val="00821E97"/>
    <w:rsid w:val="00832C26"/>
    <w:rsid w:val="0084146B"/>
    <w:rsid w:val="00845677"/>
    <w:rsid w:val="00854605"/>
    <w:rsid w:val="008561EF"/>
    <w:rsid w:val="00863577"/>
    <w:rsid w:val="0088200F"/>
    <w:rsid w:val="008928F5"/>
    <w:rsid w:val="008A5E04"/>
    <w:rsid w:val="008C1B9E"/>
    <w:rsid w:val="008C3CEB"/>
    <w:rsid w:val="008C4045"/>
    <w:rsid w:val="008E3346"/>
    <w:rsid w:val="008F4AD6"/>
    <w:rsid w:val="00902BB8"/>
    <w:rsid w:val="00906B31"/>
    <w:rsid w:val="009078B5"/>
    <w:rsid w:val="0091543D"/>
    <w:rsid w:val="00915FF3"/>
    <w:rsid w:val="00930EA9"/>
    <w:rsid w:val="00952D38"/>
    <w:rsid w:val="00972C35"/>
    <w:rsid w:val="00975B87"/>
    <w:rsid w:val="00981394"/>
    <w:rsid w:val="0098562C"/>
    <w:rsid w:val="009B2522"/>
    <w:rsid w:val="009B7E20"/>
    <w:rsid w:val="009E53B4"/>
    <w:rsid w:val="00A06AFA"/>
    <w:rsid w:val="00A21B4C"/>
    <w:rsid w:val="00A3274F"/>
    <w:rsid w:val="00A544FB"/>
    <w:rsid w:val="00A574E8"/>
    <w:rsid w:val="00A57656"/>
    <w:rsid w:val="00A6055F"/>
    <w:rsid w:val="00A84141"/>
    <w:rsid w:val="00A85A56"/>
    <w:rsid w:val="00A868EA"/>
    <w:rsid w:val="00A96865"/>
    <w:rsid w:val="00AA12C1"/>
    <w:rsid w:val="00AA68FF"/>
    <w:rsid w:val="00AB2EBB"/>
    <w:rsid w:val="00AC73FF"/>
    <w:rsid w:val="00AC7E4A"/>
    <w:rsid w:val="00AD32D7"/>
    <w:rsid w:val="00AE1A31"/>
    <w:rsid w:val="00B03744"/>
    <w:rsid w:val="00B1392F"/>
    <w:rsid w:val="00B14609"/>
    <w:rsid w:val="00B20A1E"/>
    <w:rsid w:val="00B247F5"/>
    <w:rsid w:val="00B42FE7"/>
    <w:rsid w:val="00B46B32"/>
    <w:rsid w:val="00B46F39"/>
    <w:rsid w:val="00B472C4"/>
    <w:rsid w:val="00B63B37"/>
    <w:rsid w:val="00B84709"/>
    <w:rsid w:val="00B92329"/>
    <w:rsid w:val="00BA4109"/>
    <w:rsid w:val="00BA5CD2"/>
    <w:rsid w:val="00BC46BE"/>
    <w:rsid w:val="00BE21F6"/>
    <w:rsid w:val="00BE3BDE"/>
    <w:rsid w:val="00BE6367"/>
    <w:rsid w:val="00BF745D"/>
    <w:rsid w:val="00C02216"/>
    <w:rsid w:val="00C07EA9"/>
    <w:rsid w:val="00C25246"/>
    <w:rsid w:val="00C45FA2"/>
    <w:rsid w:val="00C57354"/>
    <w:rsid w:val="00C61DFA"/>
    <w:rsid w:val="00C6341A"/>
    <w:rsid w:val="00C83060"/>
    <w:rsid w:val="00CA1076"/>
    <w:rsid w:val="00CA4937"/>
    <w:rsid w:val="00CC3EE8"/>
    <w:rsid w:val="00CC7A70"/>
    <w:rsid w:val="00CD2939"/>
    <w:rsid w:val="00CD5C1D"/>
    <w:rsid w:val="00D06A61"/>
    <w:rsid w:val="00D10E6D"/>
    <w:rsid w:val="00D112F5"/>
    <w:rsid w:val="00D15C63"/>
    <w:rsid w:val="00D23392"/>
    <w:rsid w:val="00D2368A"/>
    <w:rsid w:val="00D43246"/>
    <w:rsid w:val="00D54DDC"/>
    <w:rsid w:val="00D807D7"/>
    <w:rsid w:val="00D96765"/>
    <w:rsid w:val="00DA0B19"/>
    <w:rsid w:val="00DA41B1"/>
    <w:rsid w:val="00DC1DE4"/>
    <w:rsid w:val="00DE46F6"/>
    <w:rsid w:val="00DF3721"/>
    <w:rsid w:val="00DF4CAC"/>
    <w:rsid w:val="00E035CC"/>
    <w:rsid w:val="00E043F1"/>
    <w:rsid w:val="00E108F3"/>
    <w:rsid w:val="00E147E5"/>
    <w:rsid w:val="00E41447"/>
    <w:rsid w:val="00E51CAB"/>
    <w:rsid w:val="00E52319"/>
    <w:rsid w:val="00E60C1F"/>
    <w:rsid w:val="00E62FDF"/>
    <w:rsid w:val="00E739A6"/>
    <w:rsid w:val="00E831FE"/>
    <w:rsid w:val="00E85654"/>
    <w:rsid w:val="00EB0084"/>
    <w:rsid w:val="00EC5472"/>
    <w:rsid w:val="00ED2BC0"/>
    <w:rsid w:val="00ED3F12"/>
    <w:rsid w:val="00EE2F67"/>
    <w:rsid w:val="00EE6476"/>
    <w:rsid w:val="00F21E37"/>
    <w:rsid w:val="00F32E4B"/>
    <w:rsid w:val="00F37F7E"/>
    <w:rsid w:val="00F45D9A"/>
    <w:rsid w:val="00F479E8"/>
    <w:rsid w:val="00F54BAE"/>
    <w:rsid w:val="00F61BA5"/>
    <w:rsid w:val="00F62768"/>
    <w:rsid w:val="00F92FA2"/>
    <w:rsid w:val="00FC4AAE"/>
    <w:rsid w:val="00FE3584"/>
    <w:rsid w:val="00FE5053"/>
    <w:rsid w:val="00FF67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37F7E"/>
    <w:rPr>
      <w:sz w:val="24"/>
      <w:szCs w:val="24"/>
    </w:rPr>
  </w:style>
  <w:style w:type="paragraph" w:styleId="Virsraksts1">
    <w:name w:val="heading 1"/>
    <w:basedOn w:val="Parastais"/>
    <w:next w:val="Parastais"/>
    <w:link w:val="Virsraksts1Rakstz"/>
    <w:uiPriority w:val="99"/>
    <w:qFormat/>
    <w:rsid w:val="0056482D"/>
    <w:pPr>
      <w:keepNext/>
      <w:jc w:val="center"/>
      <w:outlineLvl w:val="0"/>
    </w:pPr>
    <w:rPr>
      <w:b/>
      <w:bCs/>
      <w:sz w:val="28"/>
      <w:lang w:eastAsia="en-US"/>
    </w:rPr>
  </w:style>
  <w:style w:type="paragraph" w:styleId="Virsraksts2">
    <w:name w:val="heading 2"/>
    <w:basedOn w:val="Parastais"/>
    <w:next w:val="Parastais"/>
    <w:link w:val="Virsraksts2Rakstz"/>
    <w:uiPriority w:val="99"/>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33186F"/>
    <w:rPr>
      <w:rFonts w:ascii="Cambria" w:eastAsia="Times New Roman" w:hAnsi="Cambria" w:cs="Times New Roman"/>
      <w:b/>
      <w:bCs/>
      <w:kern w:val="32"/>
      <w:sz w:val="32"/>
      <w:szCs w:val="32"/>
    </w:rPr>
  </w:style>
  <w:style w:type="character" w:customStyle="1" w:styleId="Virsraksts2Rakstz">
    <w:name w:val="Virsraksts 2 Rakstz."/>
    <w:link w:val="Virsraksts2"/>
    <w:uiPriority w:val="9"/>
    <w:semiHidden/>
    <w:rsid w:val="0033186F"/>
    <w:rPr>
      <w:rFonts w:ascii="Cambria" w:eastAsia="Times New Roman" w:hAnsi="Cambria" w:cs="Times New Roman"/>
      <w:b/>
      <w:bCs/>
      <w:i/>
      <w:iCs/>
      <w:sz w:val="28"/>
      <w:szCs w:val="28"/>
    </w:rPr>
  </w:style>
  <w:style w:type="paragraph" w:customStyle="1" w:styleId="naisc">
    <w:name w:val="naisc"/>
    <w:basedOn w:val="Parastais"/>
    <w:uiPriority w:val="99"/>
    <w:rsid w:val="00F37F7E"/>
    <w:pPr>
      <w:spacing w:before="100" w:beforeAutospacing="1" w:after="100" w:afterAutospacing="1"/>
    </w:pPr>
  </w:style>
  <w:style w:type="paragraph" w:customStyle="1" w:styleId="naisnod">
    <w:name w:val="naisnod"/>
    <w:basedOn w:val="Parastais"/>
    <w:uiPriority w:val="99"/>
    <w:rsid w:val="00F37F7E"/>
    <w:pPr>
      <w:spacing w:before="100" w:beforeAutospacing="1" w:after="100" w:afterAutospacing="1"/>
    </w:pPr>
  </w:style>
  <w:style w:type="paragraph" w:customStyle="1" w:styleId="naiskr">
    <w:name w:val="naiskr"/>
    <w:basedOn w:val="Parastais"/>
    <w:uiPriority w:val="99"/>
    <w:rsid w:val="00F37F7E"/>
    <w:pPr>
      <w:spacing w:before="100" w:beforeAutospacing="1" w:after="100" w:afterAutospacing="1"/>
    </w:pPr>
  </w:style>
  <w:style w:type="paragraph" w:customStyle="1" w:styleId="naisf">
    <w:name w:val="naisf"/>
    <w:basedOn w:val="Parastais"/>
    <w:uiPriority w:val="99"/>
    <w:rsid w:val="00F37F7E"/>
    <w:pPr>
      <w:spacing w:before="100" w:beforeAutospacing="1" w:after="100" w:afterAutospacing="1"/>
    </w:pPr>
  </w:style>
  <w:style w:type="paragraph" w:styleId="Pamatteksts">
    <w:name w:val="Body Text"/>
    <w:basedOn w:val="Parastais"/>
    <w:link w:val="PamattekstsRakstz"/>
    <w:uiPriority w:val="99"/>
    <w:rsid w:val="00F37F7E"/>
    <w:pPr>
      <w:jc w:val="right"/>
    </w:pPr>
    <w:rPr>
      <w:b/>
      <w:sz w:val="28"/>
      <w:szCs w:val="20"/>
      <w:lang w:eastAsia="en-US"/>
    </w:rPr>
  </w:style>
  <w:style w:type="character" w:customStyle="1" w:styleId="PamattekstsRakstz">
    <w:name w:val="Pamatteksts Rakstz."/>
    <w:link w:val="Pamatteksts"/>
    <w:uiPriority w:val="99"/>
    <w:semiHidden/>
    <w:locked/>
    <w:rsid w:val="00F37F7E"/>
    <w:rPr>
      <w:b/>
      <w:sz w:val="28"/>
      <w:lang w:val="lv-LV" w:eastAsia="en-US"/>
    </w:rPr>
  </w:style>
  <w:style w:type="paragraph" w:styleId="Galvene">
    <w:name w:val="header"/>
    <w:basedOn w:val="Parastais"/>
    <w:link w:val="GalveneRakstz"/>
    <w:uiPriority w:val="99"/>
    <w:rsid w:val="00F37F7E"/>
    <w:pPr>
      <w:tabs>
        <w:tab w:val="center" w:pos="4153"/>
        <w:tab w:val="right" w:pos="8306"/>
      </w:tabs>
    </w:pPr>
  </w:style>
  <w:style w:type="character" w:customStyle="1" w:styleId="GalveneRakstz">
    <w:name w:val="Galvene Rakstz."/>
    <w:link w:val="Galvene"/>
    <w:uiPriority w:val="99"/>
    <w:semiHidden/>
    <w:locked/>
    <w:rsid w:val="00F37F7E"/>
    <w:rPr>
      <w:sz w:val="24"/>
      <w:lang w:val="lv-LV" w:eastAsia="lv-LV"/>
    </w:rPr>
  </w:style>
  <w:style w:type="character" w:styleId="Lappusesnumurs">
    <w:name w:val="page number"/>
    <w:uiPriority w:val="99"/>
    <w:rsid w:val="00F37F7E"/>
    <w:rPr>
      <w:rFonts w:cs="Times New Roman"/>
    </w:rPr>
  </w:style>
  <w:style w:type="paragraph" w:styleId="Kjene">
    <w:name w:val="footer"/>
    <w:basedOn w:val="Parastais"/>
    <w:link w:val="KjeneRakstz"/>
    <w:uiPriority w:val="99"/>
    <w:rsid w:val="00F37F7E"/>
    <w:pPr>
      <w:tabs>
        <w:tab w:val="center" w:pos="4153"/>
        <w:tab w:val="right" w:pos="8306"/>
      </w:tabs>
    </w:pPr>
  </w:style>
  <w:style w:type="character" w:customStyle="1" w:styleId="KjeneRakstz">
    <w:name w:val="Kājene Rakstz."/>
    <w:link w:val="Kjene"/>
    <w:uiPriority w:val="99"/>
    <w:semiHidden/>
    <w:locked/>
    <w:rsid w:val="00F37F7E"/>
    <w:rPr>
      <w:sz w:val="24"/>
      <w:lang w:val="lv-LV" w:eastAsia="lv-LV"/>
    </w:rPr>
  </w:style>
  <w:style w:type="character" w:styleId="Hipersaite">
    <w:name w:val="Hyperlink"/>
    <w:uiPriority w:val="99"/>
    <w:rsid w:val="000D7729"/>
    <w:rPr>
      <w:rFonts w:cs="Times New Roman"/>
      <w:color w:val="0000FF"/>
      <w:u w:val="single"/>
    </w:rPr>
  </w:style>
  <w:style w:type="paragraph" w:customStyle="1" w:styleId="naislab">
    <w:name w:val="naislab"/>
    <w:basedOn w:val="Parastais"/>
    <w:uiPriority w:val="99"/>
    <w:rsid w:val="00D23392"/>
    <w:pPr>
      <w:spacing w:before="100" w:beforeAutospacing="1" w:after="100" w:afterAutospacing="1"/>
    </w:pPr>
    <w:rPr>
      <w:lang w:val="en-GB" w:eastAsia="en-US"/>
    </w:rPr>
  </w:style>
  <w:style w:type="paragraph" w:styleId="ParastaisWeb">
    <w:name w:val="Normal (Web)"/>
    <w:basedOn w:val="Parastais"/>
    <w:uiPriority w:val="99"/>
    <w:rsid w:val="0056482D"/>
    <w:pPr>
      <w:spacing w:before="100" w:beforeAutospacing="1" w:after="100" w:afterAutospacing="1"/>
    </w:pPr>
    <w:rPr>
      <w:rFonts w:eastAsia="Arial Unicode MS"/>
      <w:lang w:val="en-GB" w:eastAsia="en-US"/>
    </w:rPr>
  </w:style>
  <w:style w:type="character" w:styleId="Komentraatsauce">
    <w:name w:val="annotation reference"/>
    <w:uiPriority w:val="99"/>
    <w:rsid w:val="008C1B9E"/>
    <w:rPr>
      <w:rFonts w:cs="Times New Roman"/>
      <w:sz w:val="16"/>
    </w:rPr>
  </w:style>
  <w:style w:type="paragraph" w:styleId="Komentrateksts">
    <w:name w:val="annotation text"/>
    <w:basedOn w:val="Parastais"/>
    <w:link w:val="KomentratekstsRakstz"/>
    <w:uiPriority w:val="99"/>
    <w:rsid w:val="008C1B9E"/>
    <w:rPr>
      <w:sz w:val="20"/>
      <w:szCs w:val="20"/>
    </w:rPr>
  </w:style>
  <w:style w:type="character" w:customStyle="1" w:styleId="KomentratekstsRakstz">
    <w:name w:val="Komentāra teksts Rakstz."/>
    <w:link w:val="Komentrateksts"/>
    <w:uiPriority w:val="99"/>
    <w:semiHidden/>
    <w:rsid w:val="0033186F"/>
    <w:rPr>
      <w:sz w:val="20"/>
      <w:szCs w:val="20"/>
    </w:rPr>
  </w:style>
  <w:style w:type="paragraph" w:styleId="Balonteksts">
    <w:name w:val="Balloon Text"/>
    <w:basedOn w:val="Parastais"/>
    <w:link w:val="BalontekstsRakstz"/>
    <w:uiPriority w:val="99"/>
    <w:semiHidden/>
    <w:rsid w:val="008C1B9E"/>
    <w:rPr>
      <w:rFonts w:ascii="Tahoma" w:hAnsi="Tahoma" w:cs="Tahoma"/>
      <w:sz w:val="16"/>
      <w:szCs w:val="16"/>
    </w:rPr>
  </w:style>
  <w:style w:type="character" w:customStyle="1" w:styleId="BalontekstsRakstz">
    <w:name w:val="Balonteksts Rakstz."/>
    <w:link w:val="Balonteksts"/>
    <w:uiPriority w:val="99"/>
    <w:semiHidden/>
    <w:rsid w:val="0033186F"/>
    <w:rPr>
      <w:sz w:val="0"/>
      <w:szCs w:val="0"/>
    </w:rPr>
  </w:style>
  <w:style w:type="character" w:styleId="Izteiksmgs">
    <w:name w:val="Strong"/>
    <w:uiPriority w:val="99"/>
    <w:qFormat/>
    <w:rsid w:val="008928F5"/>
    <w:rPr>
      <w:rFonts w:cs="Times New Roman"/>
      <w:b/>
    </w:rPr>
  </w:style>
  <w:style w:type="paragraph" w:styleId="Sarakstarindkopa">
    <w:name w:val="List Paragraph"/>
    <w:basedOn w:val="Parastais"/>
    <w:uiPriority w:val="99"/>
    <w:qFormat/>
    <w:rsid w:val="004C0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37F7E"/>
    <w:rPr>
      <w:sz w:val="24"/>
      <w:szCs w:val="24"/>
    </w:rPr>
  </w:style>
  <w:style w:type="paragraph" w:styleId="Virsraksts1">
    <w:name w:val="heading 1"/>
    <w:basedOn w:val="Parasts"/>
    <w:next w:val="Parasts"/>
    <w:link w:val="Virsraksts1Rakstz"/>
    <w:uiPriority w:val="99"/>
    <w:qFormat/>
    <w:rsid w:val="0056482D"/>
    <w:pPr>
      <w:keepNext/>
      <w:jc w:val="center"/>
      <w:outlineLvl w:val="0"/>
    </w:pPr>
    <w:rPr>
      <w:b/>
      <w:bCs/>
      <w:sz w:val="28"/>
      <w:lang w:eastAsia="en-US"/>
    </w:rPr>
  </w:style>
  <w:style w:type="paragraph" w:styleId="Virsraksts2">
    <w:name w:val="heading 2"/>
    <w:basedOn w:val="Parasts"/>
    <w:next w:val="Parasts"/>
    <w:link w:val="Virsraksts2Rakstz"/>
    <w:uiPriority w:val="99"/>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33186F"/>
    <w:rPr>
      <w:rFonts w:ascii="Cambria" w:eastAsia="Times New Roman" w:hAnsi="Cambria" w:cs="Times New Roman"/>
      <w:b/>
      <w:bCs/>
      <w:kern w:val="32"/>
      <w:sz w:val="32"/>
      <w:szCs w:val="32"/>
    </w:rPr>
  </w:style>
  <w:style w:type="character" w:customStyle="1" w:styleId="Virsraksts2Rakstz">
    <w:name w:val="Virsraksts 2 Rakstz."/>
    <w:link w:val="Virsraksts2"/>
    <w:uiPriority w:val="9"/>
    <w:semiHidden/>
    <w:rsid w:val="0033186F"/>
    <w:rPr>
      <w:rFonts w:ascii="Cambria" w:eastAsia="Times New Roman" w:hAnsi="Cambria" w:cs="Times New Roman"/>
      <w:b/>
      <w:bCs/>
      <w:i/>
      <w:iCs/>
      <w:sz w:val="28"/>
      <w:szCs w:val="28"/>
    </w:rPr>
  </w:style>
  <w:style w:type="paragraph" w:customStyle="1" w:styleId="naisc">
    <w:name w:val="naisc"/>
    <w:basedOn w:val="Parasts"/>
    <w:uiPriority w:val="99"/>
    <w:rsid w:val="00F37F7E"/>
    <w:pPr>
      <w:spacing w:before="100" w:beforeAutospacing="1" w:after="100" w:afterAutospacing="1"/>
    </w:pPr>
  </w:style>
  <w:style w:type="paragraph" w:customStyle="1" w:styleId="naisnod">
    <w:name w:val="naisnod"/>
    <w:basedOn w:val="Parasts"/>
    <w:uiPriority w:val="99"/>
    <w:rsid w:val="00F37F7E"/>
    <w:pPr>
      <w:spacing w:before="100" w:beforeAutospacing="1" w:after="100" w:afterAutospacing="1"/>
    </w:pPr>
  </w:style>
  <w:style w:type="paragraph" w:customStyle="1" w:styleId="naiskr">
    <w:name w:val="naiskr"/>
    <w:basedOn w:val="Parasts"/>
    <w:uiPriority w:val="99"/>
    <w:rsid w:val="00F37F7E"/>
    <w:pPr>
      <w:spacing w:before="100" w:beforeAutospacing="1" w:after="100" w:afterAutospacing="1"/>
    </w:pPr>
  </w:style>
  <w:style w:type="paragraph" w:customStyle="1" w:styleId="naisf">
    <w:name w:val="naisf"/>
    <w:basedOn w:val="Parasts"/>
    <w:uiPriority w:val="99"/>
    <w:rsid w:val="00F37F7E"/>
    <w:pPr>
      <w:spacing w:before="100" w:beforeAutospacing="1" w:after="100" w:afterAutospacing="1"/>
    </w:pPr>
  </w:style>
  <w:style w:type="paragraph" w:styleId="Pamatteksts">
    <w:name w:val="Body Text"/>
    <w:basedOn w:val="Parasts"/>
    <w:link w:val="PamattekstsRakstz"/>
    <w:uiPriority w:val="99"/>
    <w:rsid w:val="00F37F7E"/>
    <w:pPr>
      <w:jc w:val="right"/>
    </w:pPr>
    <w:rPr>
      <w:b/>
      <w:sz w:val="28"/>
      <w:szCs w:val="20"/>
      <w:lang w:eastAsia="en-US"/>
    </w:rPr>
  </w:style>
  <w:style w:type="character" w:customStyle="1" w:styleId="PamattekstsRakstz">
    <w:name w:val="Pamatteksts Rakstz."/>
    <w:link w:val="Pamatteksts"/>
    <w:uiPriority w:val="99"/>
    <w:semiHidden/>
    <w:locked/>
    <w:rsid w:val="00F37F7E"/>
    <w:rPr>
      <w:b/>
      <w:sz w:val="28"/>
      <w:lang w:val="lv-LV" w:eastAsia="en-US"/>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link w:val="Galvene"/>
    <w:uiPriority w:val="99"/>
    <w:semiHidden/>
    <w:locked/>
    <w:rsid w:val="00F37F7E"/>
    <w:rPr>
      <w:sz w:val="24"/>
      <w:lang w:val="lv-LV" w:eastAsia="lv-LV"/>
    </w:rPr>
  </w:style>
  <w:style w:type="character" w:styleId="Lappusesnumurs">
    <w:name w:val="page number"/>
    <w:uiPriority w:val="99"/>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link w:val="Kjene"/>
    <w:uiPriority w:val="99"/>
    <w:semiHidden/>
    <w:locked/>
    <w:rsid w:val="00F37F7E"/>
    <w:rPr>
      <w:sz w:val="24"/>
      <w:lang w:val="lv-LV" w:eastAsia="lv-LV"/>
    </w:rPr>
  </w:style>
  <w:style w:type="character" w:styleId="Hipersaite">
    <w:name w:val="Hyperlink"/>
    <w:uiPriority w:val="99"/>
    <w:rsid w:val="000D7729"/>
    <w:rPr>
      <w:rFonts w:cs="Times New Roman"/>
      <w:color w:val="0000FF"/>
      <w:u w:val="single"/>
    </w:rPr>
  </w:style>
  <w:style w:type="paragraph" w:customStyle="1" w:styleId="naislab">
    <w:name w:val="naislab"/>
    <w:basedOn w:val="Parasts"/>
    <w:uiPriority w:val="99"/>
    <w:rsid w:val="00D23392"/>
    <w:pPr>
      <w:spacing w:before="100" w:beforeAutospacing="1" w:after="100" w:afterAutospacing="1"/>
    </w:pPr>
    <w:rPr>
      <w:lang w:val="en-GB" w:eastAsia="en-US"/>
    </w:rPr>
  </w:style>
  <w:style w:type="paragraph" w:styleId="Paraststmeklis">
    <w:name w:val="Normal (Web)"/>
    <w:basedOn w:val="Parasts"/>
    <w:uiPriority w:val="99"/>
    <w:rsid w:val="0056482D"/>
    <w:pPr>
      <w:spacing w:before="100" w:beforeAutospacing="1" w:after="100" w:afterAutospacing="1"/>
    </w:pPr>
    <w:rPr>
      <w:rFonts w:eastAsia="Arial Unicode MS"/>
      <w:lang w:val="en-GB" w:eastAsia="en-US"/>
    </w:rPr>
  </w:style>
  <w:style w:type="character" w:styleId="Komentraatsauce">
    <w:name w:val="annotation reference"/>
    <w:uiPriority w:val="99"/>
    <w:rsid w:val="008C1B9E"/>
    <w:rPr>
      <w:rFonts w:cs="Times New Roman"/>
      <w:sz w:val="16"/>
    </w:rPr>
  </w:style>
  <w:style w:type="paragraph" w:styleId="Komentrateksts">
    <w:name w:val="annotation text"/>
    <w:basedOn w:val="Parasts"/>
    <w:link w:val="KomentratekstsRakstz"/>
    <w:uiPriority w:val="99"/>
    <w:rsid w:val="008C1B9E"/>
    <w:rPr>
      <w:sz w:val="20"/>
      <w:szCs w:val="20"/>
    </w:rPr>
  </w:style>
  <w:style w:type="character" w:customStyle="1" w:styleId="KomentratekstsRakstz">
    <w:name w:val="Komentāra teksts Rakstz."/>
    <w:link w:val="Komentrateksts"/>
    <w:uiPriority w:val="99"/>
    <w:semiHidden/>
    <w:rsid w:val="0033186F"/>
    <w:rPr>
      <w:sz w:val="20"/>
      <w:szCs w:val="20"/>
    </w:rPr>
  </w:style>
  <w:style w:type="paragraph" w:styleId="Balonteksts">
    <w:name w:val="Balloon Text"/>
    <w:basedOn w:val="Parasts"/>
    <w:link w:val="BalontekstsRakstz"/>
    <w:uiPriority w:val="99"/>
    <w:semiHidden/>
    <w:rsid w:val="008C1B9E"/>
    <w:rPr>
      <w:rFonts w:ascii="Tahoma" w:hAnsi="Tahoma" w:cs="Tahoma"/>
      <w:sz w:val="16"/>
      <w:szCs w:val="16"/>
    </w:rPr>
  </w:style>
  <w:style w:type="character" w:customStyle="1" w:styleId="BalontekstsRakstz">
    <w:name w:val="Balonteksts Rakstz."/>
    <w:link w:val="Balonteksts"/>
    <w:uiPriority w:val="99"/>
    <w:semiHidden/>
    <w:rsid w:val="0033186F"/>
    <w:rPr>
      <w:sz w:val="0"/>
      <w:szCs w:val="0"/>
    </w:rPr>
  </w:style>
  <w:style w:type="character" w:styleId="Izteiksmgs">
    <w:name w:val="Strong"/>
    <w:uiPriority w:val="99"/>
    <w:qFormat/>
    <w:rsid w:val="008928F5"/>
    <w:rPr>
      <w:rFonts w:cs="Times New Roman"/>
      <w:b/>
    </w:rPr>
  </w:style>
  <w:style w:type="paragraph" w:styleId="Sarakstarindkopa">
    <w:name w:val="List Paragraph"/>
    <w:basedOn w:val="Parasts"/>
    <w:uiPriority w:val="99"/>
    <w:qFormat/>
    <w:rsid w:val="004C0C3E"/>
    <w:pPr>
      <w:ind w:left="720"/>
      <w:contextualSpacing/>
    </w:pPr>
  </w:style>
</w:styles>
</file>

<file path=word/webSettings.xml><?xml version="1.0" encoding="utf-8"?>
<w:webSettings xmlns:r="http://schemas.openxmlformats.org/officeDocument/2006/relationships" xmlns:w="http://schemas.openxmlformats.org/wordprocessingml/2006/main">
  <w:divs>
    <w:div w:id="23947955">
      <w:marLeft w:val="0"/>
      <w:marRight w:val="0"/>
      <w:marTop w:val="0"/>
      <w:marBottom w:val="0"/>
      <w:divBdr>
        <w:top w:val="none" w:sz="0" w:space="0" w:color="auto"/>
        <w:left w:val="none" w:sz="0" w:space="0" w:color="auto"/>
        <w:bottom w:val="none" w:sz="0" w:space="0" w:color="auto"/>
        <w:right w:val="none" w:sz="0" w:space="0" w:color="auto"/>
      </w:divBdr>
    </w:div>
    <w:div w:id="23947956">
      <w:marLeft w:val="0"/>
      <w:marRight w:val="0"/>
      <w:marTop w:val="0"/>
      <w:marBottom w:val="0"/>
      <w:divBdr>
        <w:top w:val="none" w:sz="0" w:space="0" w:color="auto"/>
        <w:left w:val="none" w:sz="0" w:space="0" w:color="auto"/>
        <w:bottom w:val="none" w:sz="0" w:space="0" w:color="auto"/>
        <w:right w:val="none" w:sz="0" w:space="0" w:color="auto"/>
      </w:divBdr>
      <w:divsChild>
        <w:div w:id="23947962">
          <w:marLeft w:val="3"/>
          <w:marRight w:val="3"/>
          <w:marTop w:val="0"/>
          <w:marBottom w:val="0"/>
          <w:divBdr>
            <w:top w:val="single" w:sz="8" w:space="0" w:color="112449"/>
            <w:left w:val="single" w:sz="8" w:space="0" w:color="112449"/>
            <w:bottom w:val="single" w:sz="8" w:space="0" w:color="112449"/>
            <w:right w:val="single" w:sz="8" w:space="0" w:color="112449"/>
          </w:divBdr>
          <w:divsChild>
            <w:div w:id="23947951">
              <w:marLeft w:val="3"/>
              <w:marRight w:val="3"/>
              <w:marTop w:val="0"/>
              <w:marBottom w:val="0"/>
              <w:divBdr>
                <w:top w:val="single" w:sz="8" w:space="0" w:color="112449"/>
                <w:left w:val="single" w:sz="8" w:space="0" w:color="112449"/>
                <w:bottom w:val="single" w:sz="8" w:space="0" w:color="112449"/>
                <w:right w:val="single" w:sz="8" w:space="0" w:color="112449"/>
              </w:divBdr>
              <w:divsChild>
                <w:div w:id="23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7957">
      <w:marLeft w:val="0"/>
      <w:marRight w:val="0"/>
      <w:marTop w:val="0"/>
      <w:marBottom w:val="0"/>
      <w:divBdr>
        <w:top w:val="none" w:sz="0" w:space="0" w:color="auto"/>
        <w:left w:val="none" w:sz="0" w:space="0" w:color="auto"/>
        <w:bottom w:val="none" w:sz="0" w:space="0" w:color="auto"/>
        <w:right w:val="none" w:sz="0" w:space="0" w:color="auto"/>
      </w:divBdr>
      <w:divsChild>
        <w:div w:id="23947952">
          <w:marLeft w:val="3"/>
          <w:marRight w:val="3"/>
          <w:marTop w:val="0"/>
          <w:marBottom w:val="0"/>
          <w:divBdr>
            <w:top w:val="single" w:sz="8" w:space="0" w:color="112449"/>
            <w:left w:val="single" w:sz="8" w:space="0" w:color="112449"/>
            <w:bottom w:val="single" w:sz="8" w:space="0" w:color="112449"/>
            <w:right w:val="single" w:sz="8" w:space="0" w:color="112449"/>
          </w:divBdr>
          <w:divsChild>
            <w:div w:id="23947960">
              <w:marLeft w:val="3"/>
              <w:marRight w:val="3"/>
              <w:marTop w:val="0"/>
              <w:marBottom w:val="0"/>
              <w:divBdr>
                <w:top w:val="single" w:sz="8" w:space="0" w:color="112449"/>
                <w:left w:val="single" w:sz="8" w:space="0" w:color="112449"/>
                <w:bottom w:val="single" w:sz="8" w:space="0" w:color="112449"/>
                <w:right w:val="single" w:sz="8" w:space="0" w:color="112449"/>
              </w:divBdr>
              <w:divsChild>
                <w:div w:id="239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7963">
      <w:marLeft w:val="0"/>
      <w:marRight w:val="0"/>
      <w:marTop w:val="0"/>
      <w:marBottom w:val="0"/>
      <w:divBdr>
        <w:top w:val="none" w:sz="0" w:space="0" w:color="auto"/>
        <w:left w:val="none" w:sz="0" w:space="0" w:color="auto"/>
        <w:bottom w:val="none" w:sz="0" w:space="0" w:color="auto"/>
        <w:right w:val="none" w:sz="0" w:space="0" w:color="auto"/>
      </w:divBdr>
      <w:divsChild>
        <w:div w:id="23947953">
          <w:marLeft w:val="3"/>
          <w:marRight w:val="3"/>
          <w:marTop w:val="0"/>
          <w:marBottom w:val="0"/>
          <w:divBdr>
            <w:top w:val="single" w:sz="8" w:space="0" w:color="112449"/>
            <w:left w:val="single" w:sz="8" w:space="0" w:color="112449"/>
            <w:bottom w:val="single" w:sz="8" w:space="0" w:color="112449"/>
            <w:right w:val="single" w:sz="8" w:space="0" w:color="112449"/>
          </w:divBdr>
          <w:divsChild>
            <w:div w:id="23947958">
              <w:marLeft w:val="3"/>
              <w:marRight w:val="3"/>
              <w:marTop w:val="0"/>
              <w:marBottom w:val="0"/>
              <w:divBdr>
                <w:top w:val="single" w:sz="8" w:space="0" w:color="112449"/>
                <w:left w:val="single" w:sz="8" w:space="0" w:color="112449"/>
                <w:bottom w:val="single" w:sz="8" w:space="0" w:color="112449"/>
                <w:right w:val="single" w:sz="8" w:space="0" w:color="112449"/>
              </w:divBdr>
              <w:divsChild>
                <w:div w:id="239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1L00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esdoc.cfm?esid=31980L109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1970</Words>
  <Characters>13260</Characters>
  <Application>Microsoft Office Word</Application>
  <DocSecurity>0</DocSecurity>
  <Lines>552</Lines>
  <Paragraphs>211</Paragraphs>
  <ScaleCrop>false</ScaleCrop>
  <HeadingPairs>
    <vt:vector size="2" baseType="variant">
      <vt:variant>
        <vt:lpstr>Nosaukums</vt:lpstr>
      </vt:variant>
      <vt:variant>
        <vt:i4>1</vt:i4>
      </vt:variant>
    </vt:vector>
  </HeadingPairs>
  <TitlesOfParts>
    <vt:vector size="1" baseType="lpstr">
      <vt:lpstr>Kampilobakteriozes uzraudzības, kontroles  un apkarošanas kārtība</vt:lpstr>
    </vt:vector>
  </TitlesOfParts>
  <Company>Zemkopības ministrija</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Kampilobakteriozes uzraudzības, kontroles  un apkarošanas kārtība</dc:title>
  <dc:subject>Anotācija</dc:subject>
  <dc:creator>Olita Vecuma-Veco</dc:creator>
  <cp:keywords/>
  <dc:description>Olita.Vecuma-Veco@zm.gov.lv, 67027551</dc:description>
  <cp:lastModifiedBy>Renārs Žagars</cp:lastModifiedBy>
  <cp:revision>21</cp:revision>
  <dcterms:created xsi:type="dcterms:W3CDTF">2013-01-11T11:23:00Z</dcterms:created>
  <dcterms:modified xsi:type="dcterms:W3CDTF">2013-01-28T08:41:00Z</dcterms:modified>
</cp:coreProperties>
</file>